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НКАбд-03-25, 1032253497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Освоить методы реализации ветвлений в ассемблере NASM путем изучения команд безусловного и условного переходов.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Данная лабораторная работа посвящена изучению механизмов реализации ветвлений в среде ассемблера NASM. Основным инструментом организации ветвлений являются команды передачи управления (команды переходов), позволяющие изменять естественный поток выполнения программы в зависимости от определенных условий.</w:t>
      </w:r>
    </w:p>
    <w:p>
      <w:pPr>
        <w:pStyle w:val="BodyText"/>
      </w:pPr>
      <w:r>
        <w:t xml:space="preserve">Переходы классифицируются на два основных типа:</w:t>
      </w:r>
    </w:p>
    <w:p>
      <w:pPr>
        <w:pStyle w:val="Compact"/>
        <w:numPr>
          <w:ilvl w:val="0"/>
          <w:numId w:val="1001"/>
        </w:numPr>
      </w:pPr>
      <w:r>
        <w:t xml:space="preserve">Безусловные переходы - передача управления производится без какой-либо предварительной проверки условий. Этот механизм реализуется с помощью инструкции</w:t>
      </w:r>
      <w:r>
        <w:t xml:space="preserve"> </w:t>
      </w:r>
      <w:r>
        <w:rPr>
          <w:rStyle w:val="VerbatimChar"/>
        </w:rPr>
        <w:t xml:space="preserve">jmp</w:t>
      </w:r>
      <w:r>
        <w:t xml:space="preserve">, которая принимает в качестве аргумента целевой адрес (метку, абсолютный адрес или содержимое регистра).</w:t>
      </w:r>
    </w:p>
    <w:p>
      <w:pPr>
        <w:pStyle w:val="Compact"/>
        <w:numPr>
          <w:ilvl w:val="0"/>
          <w:numId w:val="1001"/>
        </w:numPr>
      </w:pPr>
      <w:r>
        <w:t xml:space="preserve">Условные переходы выполняются только при соблюдении определенного условия, которое определяется состоянием специальных флагов регистра флагов. Эти флаги устанавливаются различными инструкциями, такими как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(сравнение), в зависимости от результата операций.</w:t>
      </w:r>
    </w:p>
    <w:p>
      <w:pPr>
        <w:pStyle w:val="FirstParagraph"/>
      </w:pPr>
      <w:r>
        <w:t xml:space="preserve">Раздел посвящен детальному рассмотрению обоих типов переходов, особенностям реализации ветвлений и формированию соответствующих конструкций в ассемблерных программах. Особое внимание уделяется структуре файла листинга, который создается компилятором NASM и играет важную роль в процессе отладки программ.</w:t>
      </w:r>
    </w:p>
    <w:bookmarkEnd w:id="22"/>
    <w:bookmarkStart w:id="5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1" w:name="реализация-переходов-в-nasm"/>
    <w:p>
      <w:pPr>
        <w:pStyle w:val="Heading2"/>
      </w:pPr>
      <w:r>
        <w:t xml:space="preserve">4.1 Реализация переходов в NASM</w:t>
      </w:r>
    </w:p>
    <w:p>
      <w:pPr>
        <w:pStyle w:val="FirstParagraph"/>
      </w:pPr>
      <w:r>
        <w:t xml:space="preserve">Начнём выполнение лабораторной работы. Создадим каталог для программам (</w:t>
      </w:r>
      <w:r>
        <w:rPr>
          <w:b/>
          <w:bCs/>
        </w:rPr>
        <w:t xml:space="preserve">?@fig-001</w:t>
      </w:r>
      <w:r>
        <w:t xml:space="preserve">).</w:t>
      </w:r>
    </w:p>
    <w:p>
      <w:pPr>
        <w:pStyle w:val="BodyText"/>
      </w:pPr>
      <w:bookmarkStart w:id="26" w:name="fig-001"/>
      <w:r>
        <w:drawing>
          <wp:inline>
            <wp:extent cx="4267200" cy="1254603"/>
            <wp:effectExtent b="0" l="0" r="0" t="0"/>
            <wp:docPr descr="Начало работы с файлом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54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.</w:t>
      </w:r>
    </w:p>
    <w:p>
      <w:pPr>
        <w:pStyle w:val="BodyText"/>
      </w:pPr>
      <w:r>
        <w:t xml:space="preserve">Рассмотрим пример программы с использованием инструкции jmp. Введем в файл lab6-1.asm данный текст программы (</w:t>
      </w:r>
      <w:hyperlink w:anchor="fig-002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4267200" cy="180549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05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Подготовка файла</w:t>
            </w:r>
          </w:p>
          <w:bookmarkEnd w:id="30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0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267200" cy="64889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48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Исполняемый файл</w:t>
            </w:r>
          </w:p>
          <w:bookmarkEnd w:id="34"/>
        </w:tc>
      </w:tr>
    </w:tbl>
    <w:p>
      <w:pPr>
        <w:pStyle w:val="BodyText"/>
      </w:pPr>
      <w:r>
        <w:t xml:space="preserve">Изменим программу таким образом, чтобы она выводила сначала</w:t>
      </w:r>
      <w:r>
        <w:t xml:space="preserve"> </w:t>
      </w:r>
      <w:r>
        <w:t xml:space="preserve">‘Сообщение №2’</w:t>
      </w:r>
      <w:r>
        <w:t xml:space="preserve">, потом</w:t>
      </w:r>
      <w:r>
        <w:t xml:space="preserve"> </w:t>
      </w:r>
      <w:r>
        <w:t xml:space="preserve">‘Сообщение №1’</w:t>
      </w:r>
      <w:r>
        <w:t xml:space="preserve"> </w:t>
      </w:r>
      <w:r>
        <w:t xml:space="preserve">и завершала работу (</w:t>
      </w:r>
      <w:hyperlink w:anchor="fig-004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4267200" cy="163478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34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Изменим код</w:t>
            </w:r>
          </w:p>
          <w:bookmarkEnd w:id="38"/>
        </w:tc>
      </w:tr>
    </w:tbl>
    <w:p>
      <w:pPr>
        <w:pStyle w:val="BodyText"/>
      </w:pPr>
      <w:r>
        <w:t xml:space="preserve">Продемонстрируем работу файла (</w:t>
      </w:r>
      <w:hyperlink w:anchor="fig-005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4267200" cy="81523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15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файла</w:t>
            </w:r>
          </w:p>
          <w:bookmarkEnd w:id="42"/>
        </w:tc>
      </w:tr>
    </w:tbl>
    <w:p>
      <w:pPr>
        <w:pStyle w:val="BodyText"/>
      </w:pPr>
      <w:r>
        <w:t xml:space="preserve">Теперь рассмотрим программу, которая определяет и выводит на экран наибольшую из 3 целочисленная переменных: A,B и C. Для этого создадим файл lab7-2.asm (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4267200" cy="203962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39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Второй файл</w:t>
            </w:r>
          </w:p>
          <w:bookmarkEnd w:id="46"/>
        </w:tc>
      </w:tr>
    </w:tbl>
    <w:p>
      <w:pPr>
        <w:pStyle w:val="BodyText"/>
      </w:pPr>
      <w:r>
        <w:t xml:space="preserve">Создадим исполняемый файл и проверим его работу (</w:t>
      </w:r>
      <w:hyperlink w:anchor="fig-007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4267200" cy="79358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93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второго файла</w:t>
            </w:r>
          </w:p>
          <w:bookmarkEnd w:id="50"/>
        </w:tc>
      </w:tr>
    </w:tbl>
    <w:bookmarkEnd w:id="51"/>
    <w:bookmarkStart w:id="56" w:name="изучение-структуры-файла-листинга"/>
    <w:p>
      <w:pPr>
        <w:pStyle w:val="Heading2"/>
      </w:pPr>
      <w:r>
        <w:t xml:space="preserve">4.2 Изучение структуры файла листинга</w:t>
      </w:r>
    </w:p>
    <w:p>
      <w:pPr>
        <w:pStyle w:val="FirstParagraph"/>
      </w:pPr>
      <w:r>
        <w:t xml:space="preserve">Создадим файл листинга для программы из файла lab7-2.asm (</w:t>
      </w:r>
      <w:hyperlink w:anchor="fig-00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4267200" cy="1964704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64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Новый код программы</w:t>
            </w:r>
          </w:p>
          <w:bookmarkEnd w:id="55"/>
        </w:tc>
      </w:tr>
    </w:tbl>
    <w:p>
      <w:pPr>
        <w:pStyle w:val="BodyText"/>
      </w:pPr>
      <w:r>
        <w:t xml:space="preserve">Изучим содержание файла листинга lab7-2.lst с помощью любого текстового редактора.</w:t>
      </w:r>
    </w:p>
    <w:p>
      <w:pPr>
        <w:pStyle w:val="BodyText"/>
      </w:pPr>
      <w:r>
        <w:t xml:space="preserve">Анализ выбранного фрагмента листинга</w:t>
      </w:r>
    </w:p>
    <w:p>
      <w:pPr>
        <w:pStyle w:val="SourceCode"/>
      </w:pPr>
      <w:r>
        <w:rPr>
          <w:rStyle w:val="VerbatimChar"/>
        </w:rPr>
        <w:t xml:space="preserve">10 | 00000000 | B804000000 | mov eax,4</w:t>
      </w:r>
      <w:r>
        <w:br/>
      </w:r>
      <w:r>
        <w:rPr>
          <w:rStyle w:val="VerbatimChar"/>
        </w:rPr>
        <w:t xml:space="preserve">11 | 00000005 | BB01000000 | mov ebx,1</w:t>
      </w:r>
      <w:r>
        <w:br/>
      </w:r>
      <w:r>
        <w:rPr>
          <w:rStyle w:val="VerbatimChar"/>
        </w:rPr>
        <w:t xml:space="preserve">12 | 0000000A | B900000000 | mov ecx,hello</w:t>
      </w:r>
    </w:p>
    <w:p>
      <w:pPr>
        <w:pStyle w:val="FirstParagraph"/>
      </w:pPr>
      <w:r>
        <w:t xml:space="preserve">Каждая строка листинга состоит из четырех полей:</w:t>
      </w:r>
    </w:p>
    <w:p>
      <w:pPr>
        <w:pStyle w:val="Compact"/>
        <w:numPr>
          <w:ilvl w:val="0"/>
          <w:numId w:val="1002"/>
        </w:numPr>
      </w:pPr>
      <w:r>
        <w:t xml:space="preserve">Номер строки.</w:t>
      </w:r>
    </w:p>
    <w:p>
      <w:pPr>
        <w:pStyle w:val="Compact"/>
        <w:numPr>
          <w:ilvl w:val="0"/>
          <w:numId w:val="1002"/>
        </w:numPr>
      </w:pPr>
      <w:r>
        <w:t xml:space="preserve">Смещение.</w:t>
      </w:r>
    </w:p>
    <w:p>
      <w:pPr>
        <w:pStyle w:val="Compact"/>
        <w:numPr>
          <w:ilvl w:val="0"/>
          <w:numId w:val="1002"/>
        </w:numPr>
      </w:pPr>
      <w:r>
        <w:t xml:space="preserve">Машинный код.</w:t>
      </w:r>
    </w:p>
    <w:p>
      <w:pPr>
        <w:pStyle w:val="Compact"/>
        <w:numPr>
          <w:ilvl w:val="0"/>
          <w:numId w:val="1002"/>
        </w:numPr>
      </w:pPr>
      <w:r>
        <w:t xml:space="preserve">Исходный текст программы.</w:t>
      </w:r>
    </w:p>
    <w:p>
      <w:pPr>
        <w:pStyle w:val="FirstParagraph"/>
      </w:pPr>
      <w:r>
        <w:t xml:space="preserve">Первая строка листинга:</w:t>
      </w:r>
      <w:r>
        <w:t xml:space="preserve"> </w:t>
      </w:r>
      <w:r>
        <w:t xml:space="preserve">Номер строки: 10 — десятая строка листинга. Смещение: 00000000 — начало сегмента. Машинный код: B804000000 — команда MOV с непосредственной загрузкой значения 4 в регистр EAX. Исходный текст: инструкция mov eax,4.</w:t>
      </w:r>
    </w:p>
    <w:p>
      <w:pPr>
        <w:pStyle w:val="BodyText"/>
      </w:pPr>
      <w:r>
        <w:t xml:space="preserve">Вторая строка листинга:</w:t>
      </w:r>
      <w:r>
        <w:t xml:space="preserve"> </w:t>
      </w:r>
      <w:r>
        <w:t xml:space="preserve">Номер строки: 11 — следующая строка листинга. Смещение: 00000005 — инструкция располагается по смещению 5. Машинный код: BB01000000 — оманда MOV с непосредственной загрузкой значения 1 в регистр EBX. Исходный текст: инструкция mov ebx,1.</w:t>
      </w:r>
    </w:p>
    <w:p>
      <w:pPr>
        <w:pStyle w:val="BodyText"/>
      </w:pPr>
      <w:r>
        <w:t xml:space="preserve">Третья строка листинга:</w:t>
      </w:r>
      <w:r>
        <w:t xml:space="preserve"> </w:t>
      </w:r>
      <w:r>
        <w:t xml:space="preserve">Номер строки: 12 — очередная строка листинга. Смещение: 0000000A — инструкция размещена по смещению A (десятичное 10). Машинный код: B900000000 — команда MOV с загрузкой адреса метки hello в регистр ECX. Исходный текст: инструкция mov ecx,hello.</w:t>
      </w:r>
    </w:p>
    <w:bookmarkEnd w:id="56"/>
    <w:bookmarkEnd w:id="57"/>
    <w:bookmarkStart w:id="68" w:name="задания-для-самостоятельной-работы"/>
    <w:p>
      <w:pPr>
        <w:pStyle w:val="Heading1"/>
      </w:pPr>
      <w:r>
        <w:t xml:space="preserve">5. Задания для самостоятельной работы</w:t>
      </w:r>
    </w:p>
    <w:bookmarkStart w:id="62" w:name="section"/>
    <w:p>
      <w:pPr>
        <w:pStyle w:val="Heading2"/>
      </w:pPr>
      <w:r>
        <w:t xml:space="preserve">5.1 1</w:t>
      </w:r>
    </w:p>
    <w:p>
      <w:pPr>
        <w:pStyle w:val="FirstParagraph"/>
      </w:pPr>
      <w:r>
        <w:t xml:space="preserve">Напишем программу, которая находит наименьшую величину из трех целочисленных переменных 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4267200" cy="111549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15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файла</w:t>
            </w:r>
          </w:p>
          <w:bookmarkEnd w:id="61"/>
        </w:tc>
      </w:tr>
    </w:tbl>
    <w:bookmarkEnd w:id="62"/>
    <w:bookmarkStart w:id="67" w:name="section-1"/>
    <w:p>
      <w:pPr>
        <w:pStyle w:val="Heading2"/>
      </w:pPr>
      <w:r>
        <w:t xml:space="preserve">5.2 2</w:t>
      </w:r>
    </w:p>
    <w:p>
      <w:pPr>
        <w:pStyle w:val="FirstParagraph"/>
      </w:pPr>
      <w:r>
        <w:t xml:space="preserve">Создадим программу, которая вычисляет значение функции для введенных с клавиатуры значений (</w:t>
      </w:r>
      <w:hyperlink w:anchor="fig-010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4267200" cy="99974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99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файла</w:t>
            </w:r>
          </w:p>
          <w:bookmarkEnd w:id="66"/>
        </w:tc>
      </w:tr>
    </w:tbl>
    <w:bookmarkEnd w:id="67"/>
    <w:bookmarkEnd w:id="68"/>
    <w:bookmarkStart w:id="6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были освоены механизмы реализации ветвлений в языке ассемблера NASM посредством команд безусловного и условного переходов. Были изучены особенности работы с этими командами, рассмотрены способы изменения естественного порядка выполнения инструкций в программе.</w:t>
      </w:r>
    </w:p>
    <w:p>
      <w:pPr>
        <w:pStyle w:val="BodyText"/>
      </w:pPr>
      <w:r>
        <w:t xml:space="preserve">Все выполненные задания подтвердили успешное усвоение материала, касающегося принципов работы команд переходов и особенностей формирования программы на ассемблере.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3" Target="media/rId6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Кулаженкова Яна Сергеевна</dc:creator>
  <dc:language>ru-RU</dc:language>
  <cp:keywords/>
  <dcterms:created xsi:type="dcterms:W3CDTF">2025-11-23T20:44:01Z</dcterms:created>
  <dcterms:modified xsi:type="dcterms:W3CDTF">2025-11-23T20:44:01Z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НКАбд-03-25, 1032253497</vt:lpwstr>
  </property>
  <property fmtid="{D5CDD505-2E9C-101B-9397-08002B2CF9AE}" pid="16" name="toc-title">
    <vt:lpwstr>Содержание</vt:lpwstr>
  </property>
</Properties>
</file>