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5.png" ContentType="image/png"/>
  <Override PartName="/word/media/rId110.png" ContentType="image/png"/>
  <Override PartName="/word/media/rId114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Понятие подпрограммы. Отладчик GDB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Освоить принципы организации подпрограмм в ассемблере, изучить инструменты отладки с использованием GDB, включая установку точек останова, пошаговую отладку и обработку аргументов командной строки.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Отладка – это систематический процесс поиска и исправления ошибок в программном коде, включающий этапы обнаружения, локализации, диагностики и устранения дефекта. Для её проведения используются методы контрольных точек и специализированные программы-отладчики, такие как GDB (GNU Debugger). GDB предоставляет ключевые возможности для низкоуровневого анализа: управление выполнением программы (запуск, остановка), установку точек останова командой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 пошаговое прохождение кода (</w:t>
      </w:r>
      <w:r>
        <w:rPr>
          <w:rStyle w:val="VerbatimChar"/>
        </w:rPr>
        <w:t xml:space="preserve">stepi</w:t>
      </w:r>
      <w:r>
        <w:t xml:space="preserve">) и исследование состояния программы через регистры (</w:t>
      </w:r>
      <w:r>
        <w:rPr>
          <w:rStyle w:val="VerbatimChar"/>
        </w:rPr>
        <w:t xml:space="preserve">info registers</w:t>
      </w:r>
      <w:r>
        <w:t xml:space="preserve">) и память (</w:t>
      </w:r>
      <w:r>
        <w:rPr>
          <w:rStyle w:val="VerbatimChar"/>
        </w:rPr>
        <w:t xml:space="preserve">x</w:t>
      </w:r>
      <w:r>
        <w:t xml:space="preserve">).</w:t>
      </w:r>
    </w:p>
    <w:p>
      <w:pPr>
        <w:pStyle w:val="BodyText"/>
      </w:pPr>
      <w:r>
        <w:t xml:space="preserve">Важной особенностью GDB при работе с машинным кодом является функция дизассемблирования, позволяющая отображать выполняемые инструкции в синтаксисе ATT или Intel. Это необходимо для детального понимания логики работы программы на уровне процессора. Анализ особенно важен при использовании подпрограмм, механизм вызова (</w:t>
      </w:r>
      <w:r>
        <w:rPr>
          <w:rStyle w:val="VerbatimChar"/>
        </w:rPr>
        <w:t xml:space="preserve">call</w:t>
      </w:r>
      <w:r>
        <w:t xml:space="preserve">) и возврата (</w:t>
      </w:r>
      <w:r>
        <w:rPr>
          <w:rStyle w:val="VerbatimChar"/>
        </w:rPr>
        <w:t xml:space="preserve">ret</w:t>
      </w:r>
      <w:r>
        <w:t xml:space="preserve">) которых напрямую влияет на состояние стека и потока управления.</w:t>
      </w:r>
    </w:p>
    <w:p>
      <w:pPr>
        <w:pStyle w:val="BodyText"/>
      </w:pPr>
      <w:r>
        <w:t xml:space="preserve">Таким образом, владение инструментарием GDB, включая установку точек останова, пошаговое выполнение и анализ данных, является основополагающим навыком для диагностики и устранения ошибок в программном обеспечении, в том числе, написанном на ассемблере.</w:t>
      </w:r>
    </w:p>
    <w:bookmarkEnd w:id="22"/>
    <w:bookmarkStart w:id="10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реализация-подпрограмм-в-nasm"/>
    <w:p>
      <w:pPr>
        <w:pStyle w:val="Heading2"/>
      </w:pPr>
      <w:r>
        <w:t xml:space="preserve">4.1 Реализация подпрограмм в NASM</w:t>
      </w:r>
    </w:p>
    <w:p>
      <w:pPr>
        <w:pStyle w:val="FirstParagraph"/>
      </w:pPr>
      <w:r>
        <w:t xml:space="preserve">Перед началом выполнения лабораторной работы создадим каталог для файлов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4800600" cy="171685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16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Переход в каталог лабораторной работы №9</w:t>
            </w:r>
          </w:p>
          <w:bookmarkEnd w:id="26"/>
        </w:tc>
      </w:tr>
    </w:tbl>
    <w:p>
      <w:pPr>
        <w:pStyle w:val="BodyText"/>
      </w:pPr>
      <w:r>
        <w:t xml:space="preserve">В качестве примера рассмотрим программу вычисления арифметического выражения с помощью подпрограммы _calcul. Для этого в файл lab09-1.asm введем текст программы из листинга 9.1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800600" cy="441773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17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Содержимое файла lab09-1</w:t>
            </w:r>
          </w:p>
          <w:bookmarkEnd w:id="30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800600" cy="207424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74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Продемонстрируем работу файла lab09-1</w:t>
            </w:r>
          </w:p>
          <w:bookmarkEnd w:id="34"/>
        </w:tc>
      </w:tr>
    </w:tbl>
    <w:p>
      <w:pPr>
        <w:pStyle w:val="BodyText"/>
      </w:pPr>
      <w:r>
        <w:t xml:space="preserve">Рассмотрим еще один пример. Измените текст программы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800600" cy="477857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78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Изменим код</w:t>
            </w:r>
          </w:p>
          <w:bookmarkEnd w:id="38"/>
        </w:tc>
      </w:tr>
    </w:tbl>
    <w:p>
      <w:pPr>
        <w:pStyle w:val="BodyText"/>
      </w:pPr>
      <w:r>
        <w:t xml:space="preserve">Продемонстрируем работу кода программы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800600" cy="394854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48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Работа измененного кода</w:t>
            </w:r>
          </w:p>
          <w:bookmarkEnd w:id="42"/>
        </w:tc>
      </w:tr>
    </w:tbl>
    <w:bookmarkEnd w:id="43"/>
    <w:bookmarkStart w:id="68" w:name="отладка-программам-с-помощью-gdb"/>
    <w:p>
      <w:pPr>
        <w:pStyle w:val="Heading2"/>
      </w:pPr>
      <w:r>
        <w:t xml:space="preserve">4.2 Отладка программам с помощью GDB</w:t>
      </w:r>
    </w:p>
    <w:p>
      <w:pPr>
        <w:pStyle w:val="FirstParagraph"/>
      </w:pPr>
      <w:r>
        <w:t xml:space="preserve">Далее создадим файл lab09-2.asm с текстом программы для печати сообщения Hello world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4800600" cy="4165359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165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Программа для печати сообщения Hello world!</w:t>
            </w:r>
          </w:p>
          <w:bookmarkEnd w:id="47"/>
        </w:tc>
      </w:tr>
    </w:tbl>
    <w:p>
      <w:pPr>
        <w:pStyle w:val="BodyText"/>
      </w:pPr>
      <w:r>
        <w:t xml:space="preserve">Получим исполняемый файл и загрузим его в отладчик gdb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4800600" cy="273620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36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Загрузка исполняемого файла в отладчик</w:t>
            </w:r>
          </w:p>
          <w:bookmarkEnd w:id="51"/>
        </w:tc>
      </w:tr>
    </w:tbl>
    <w:p>
      <w:pPr>
        <w:pStyle w:val="BodyText"/>
      </w:pPr>
      <w:r>
        <w:t xml:space="preserve">Теперь установим брейкпоинт на метку _start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4800600" cy="348306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3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breakpoint</w:t>
            </w:r>
          </w:p>
          <w:bookmarkEnd w:id="55"/>
        </w:tc>
      </w:tr>
    </w:tbl>
    <w:p>
      <w:pPr>
        <w:pStyle w:val="BodyText"/>
      </w:pPr>
      <w:r>
        <w:t xml:space="preserve">Посмотрим дизассемблированный код программы с помощью команды disassemble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4800600" cy="252995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29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Дизассемблированный код</w:t>
            </w:r>
          </w:p>
          <w:bookmarkEnd w:id="59"/>
        </w:tc>
      </w:tr>
    </w:tbl>
    <w:p>
      <w:pPr>
        <w:pStyle w:val="BodyText"/>
      </w:pPr>
      <w:r>
        <w:t xml:space="preserve">Посмотрим также на отображение команд с Intel’овским синтаксисом, введя команду set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4716378" cy="574628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6378" cy="5746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Отображение команды с Intel синтаксисом</w:t>
            </w:r>
          </w:p>
          <w:bookmarkEnd w:id="63"/>
        </w:tc>
      </w:tr>
    </w:tbl>
    <w:p>
      <w:pPr>
        <w:pStyle w:val="BodyText"/>
      </w:pPr>
      <w:r>
        <w:t xml:space="preserve">Включим режим псевдографики для более удобного анализа программы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4800600" cy="4751542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51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Решим псевдографики</w:t>
            </w:r>
          </w:p>
          <w:bookmarkEnd w:id="67"/>
        </w:tc>
      </w:tr>
    </w:tbl>
    <w:bookmarkEnd w:id="68"/>
    <w:bookmarkStart w:id="73" w:name="добавление-точек-останова"/>
    <w:p>
      <w:pPr>
        <w:pStyle w:val="Heading2"/>
      </w:pPr>
      <w:r>
        <w:t xml:space="preserve">4.3 Добавление точек останова</w:t>
      </w:r>
    </w:p>
    <w:p>
      <w:pPr>
        <w:pStyle w:val="FirstParagraph"/>
      </w:pPr>
      <w:r>
        <w:t xml:space="preserve">Для установки точки останова воспользуемся командой break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4800600" cy="341785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17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Установка точек останова</w:t>
            </w:r>
          </w:p>
          <w:bookmarkEnd w:id="72"/>
        </w:tc>
      </w:tr>
    </w:tbl>
    <w:bookmarkEnd w:id="73"/>
    <w:bookmarkStart w:id="90" w:name="работа-с-данными-программы-в-gdb"/>
    <w:p>
      <w:pPr>
        <w:pStyle w:val="Heading2"/>
      </w:pPr>
      <w:r>
        <w:t xml:space="preserve">4.4 Работа с данными программы в GDB</w:t>
      </w:r>
    </w:p>
    <w:p>
      <w:pPr>
        <w:pStyle w:val="FirstParagraph"/>
      </w:pPr>
      <w:r>
        <w:t xml:space="preserve">Отладчик может показывать содержимое ячеек памяти и регистров, а при необходимости позволяет вручную изменять значения регистров и переменных. Изучим способы применения команды stepi и info registers. Посмотрим значение переменных msg1 по имени и msg2 по адресу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4800600" cy="496441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964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Значение переменных msg1 и msg2</w:t>
            </w:r>
          </w:p>
          <w:bookmarkEnd w:id="77"/>
        </w:tc>
      </w:tr>
    </w:tbl>
    <w:p>
      <w:pPr>
        <w:pStyle w:val="BodyText"/>
      </w:pPr>
      <w:r>
        <w:t xml:space="preserve">Теперь изучим команду set. Изменим первый символ переменной msg1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4800600" cy="484965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849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Использование команды set</w:t>
            </w:r>
          </w:p>
          <w:bookmarkEnd w:id="81"/>
        </w:tc>
      </w:tr>
    </w:tbl>
    <w:p>
      <w:pPr>
        <w:pStyle w:val="BodyText"/>
      </w:pPr>
      <w:r>
        <w:t xml:space="preserve">Также заменим любой символ во второй переменной msg2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907856" cy="100102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7856" cy="1001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Использование команды set</w:t>
            </w:r>
          </w:p>
          <w:bookmarkEnd w:id="85"/>
        </w:tc>
      </w:tr>
    </w:tbl>
    <w:p>
      <w:pPr>
        <w:pStyle w:val="BodyText"/>
      </w:pPr>
      <w:r>
        <w:t xml:space="preserve">Чтобы посмотреть значения регистров используем команду print /F</w:t>
      </w:r>
      <w:r>
        <w:t xml:space="preserve"> 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4196614" cy="220418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6614" cy="2204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Просмотр значения регистров</w:t>
            </w:r>
          </w:p>
          <w:bookmarkEnd w:id="89"/>
        </w:tc>
      </w:tr>
    </w:tbl>
    <w:bookmarkEnd w:id="90"/>
    <w:bookmarkStart w:id="103" w:name="X34484a9d02dddcc072527afae661c9b27116987"/>
    <w:p>
      <w:pPr>
        <w:pStyle w:val="Heading2"/>
      </w:pPr>
      <w:r>
        <w:t xml:space="preserve">4.5 Обработка аргументов командной строки в GDB</w:t>
      </w:r>
    </w:p>
    <w:p>
      <w:pPr>
        <w:pStyle w:val="FirstParagraph"/>
      </w:pPr>
      <w:r>
        <w:t xml:space="preserve">Подготовим файлы для работы. Скопируем файл lab8-2.asm и создадим исполняемый файл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7"/>
          <w:p>
            <w:pPr>
              <w:pStyle w:val="Compact"/>
              <w:jc w:val="center"/>
            </w:pPr>
            <w:r>
              <w:drawing>
                <wp:inline>
                  <wp:extent cx="4800600" cy="359697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596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Подготовка файла для работы</w:t>
            </w:r>
          </w:p>
          <w:bookmarkEnd w:id="94"/>
        </w:tc>
      </w:tr>
    </w:tbl>
    <w:p>
      <w:pPr>
        <w:pStyle w:val="BodyText"/>
      </w:pPr>
      <w:r>
        <w:t xml:space="preserve">Исследуем расположение аргументов командной строки в стеке после запуска программы с помощью gdb. Для этого установим точку останова перед первой инструкцией в программе и запустим ее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8"/>
          <w:p>
            <w:pPr>
              <w:pStyle w:val="Compact"/>
              <w:jc w:val="center"/>
            </w:pPr>
            <w:r>
              <w:drawing>
                <wp:inline>
                  <wp:extent cx="4800600" cy="140454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04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Установка точки останова</w:t>
            </w:r>
          </w:p>
          <w:bookmarkEnd w:id="98"/>
        </w:tc>
      </w:tr>
    </w:tbl>
    <w:p>
      <w:pPr>
        <w:pStyle w:val="BodyText"/>
      </w:pPr>
      <w:r>
        <w:t xml:space="preserve">Продемонстрируем остальные позиции стека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9"/>
          <w:p>
            <w:pPr>
              <w:pStyle w:val="Compact"/>
              <w:jc w:val="center"/>
            </w:pPr>
            <w:r>
              <w:drawing>
                <wp:inline>
                  <wp:extent cx="4800600" cy="194958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49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Позиции стека</w:t>
            </w:r>
          </w:p>
          <w:bookmarkEnd w:id="102"/>
        </w:tc>
      </w:tr>
    </w:tbl>
    <w:bookmarkEnd w:id="103"/>
    <w:bookmarkEnd w:id="104"/>
    <w:bookmarkStart w:id="119" w:name="задание-для-самостоятельной-работы"/>
    <w:p>
      <w:pPr>
        <w:pStyle w:val="Heading1"/>
      </w:pPr>
      <w:r>
        <w:t xml:space="preserve">5. Задание для самостоятельной работы</w:t>
      </w:r>
    </w:p>
    <w:bookmarkStart w:id="109" w:name="задание-1"/>
    <w:p>
      <w:pPr>
        <w:pStyle w:val="Heading2"/>
      </w:pPr>
      <w:r>
        <w:t xml:space="preserve">5.1 Задание 1</w:t>
      </w:r>
    </w:p>
    <w:p>
      <w:pPr>
        <w:pStyle w:val="FirstParagraph"/>
      </w:pPr>
      <w:r>
        <w:t xml:space="preserve">Реализуем вычисление значения функции как подпрограмму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0"/>
          <w:p>
            <w:pPr>
              <w:pStyle w:val="Compact"/>
              <w:jc w:val="center"/>
            </w:pPr>
            <w:r>
              <w:drawing>
                <wp:inline>
                  <wp:extent cx="4800600" cy="215574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55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Задание 1</w:t>
            </w:r>
          </w:p>
          <w:bookmarkEnd w:id="108"/>
        </w:tc>
      </w:tr>
    </w:tbl>
    <w:bookmarkEnd w:id="109"/>
    <w:bookmarkStart w:id="118" w:name="задание-2"/>
    <w:p>
      <w:pPr>
        <w:pStyle w:val="Heading2"/>
      </w:pPr>
      <w:r>
        <w:t xml:space="preserve">5.2 Задание 2</w:t>
      </w:r>
    </w:p>
    <w:p>
      <w:pPr>
        <w:pStyle w:val="FirstParagraph"/>
      </w:pPr>
      <w:r>
        <w:t xml:space="preserve">С помощью отладчика GDB определим ошибку и исправим ее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 и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1"/>
          <w:p>
            <w:pPr>
              <w:pStyle w:val="Compact"/>
              <w:jc w:val="center"/>
            </w:pPr>
            <w:r>
              <w:drawing>
                <wp:inline>
                  <wp:extent cx="4800600" cy="4726119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26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Задание 2</w:t>
            </w:r>
          </w:p>
          <w:bookmarkEnd w:id="1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2"/>
          <w:p>
            <w:pPr>
              <w:pStyle w:val="Compact"/>
              <w:jc w:val="center"/>
            </w:pPr>
            <w:r>
              <w:drawing>
                <wp:inline>
                  <wp:extent cx="4800600" cy="1854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54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Задание 2</w:t>
            </w:r>
          </w:p>
          <w:bookmarkEnd w:id="117"/>
        </w:tc>
      </w:tr>
    </w:tbl>
    <w:bookmarkEnd w:id="118"/>
    <w:bookmarkEnd w:id="119"/>
    <w:bookmarkStart w:id="120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результате выполнения лабораторной работы были достигнуты следующие ключевые цели:</w:t>
      </w:r>
      <w:r>
        <w:t xml:space="preserve"> </w:t>
      </w:r>
      <w:r>
        <w:t xml:space="preserve">1. Освоены основы построения подпрограмм в языке ассемблера NASM и механизма их вызова посредством инструкций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ret</w:t>
      </w:r>
      <w:r>
        <w:t xml:space="preserve">.</w:t>
      </w:r>
      <w:r>
        <w:t xml:space="preserve"> </w:t>
      </w:r>
      <w:r>
        <w:t xml:space="preserve">2. Получены практические навыки использования отладчика GDB для эффективного поиска и устранения ошибок в программах.</w:t>
      </w:r>
      <w:r>
        <w:t xml:space="preserve"> </w:t>
      </w:r>
      <w:r>
        <w:t xml:space="preserve">3. Ознакомились с процедурой дизассемблирования программы и работой с разными форматами отображения машинного кода.</w:t>
      </w:r>
    </w:p>
    <w:p>
      <w:pPr>
        <w:pStyle w:val="BodyText"/>
      </w:pPr>
      <w:r>
        <w:t xml:space="preserve">Таким образом, закреплены знания о принципах организации и отладки программ на низком уровне, что обеспечит успешное дальнейшее развитие практических навыков программирования и понимания архитектуры вычислительных систем.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7" Target="media/rId2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Кулаженкова Яна Сергеевна</dc:creator>
  <dc:language>ru-RU</dc:language>
  <cp:keywords/>
  <dcterms:created xsi:type="dcterms:W3CDTF">2025-12-07T19:42:29Z</dcterms:created>
  <dcterms:modified xsi:type="dcterms:W3CDTF">2025-12-07T19:42:29Z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Понятие подпрограммы. Отладчик GDB</vt:lpwstr>
  </property>
  <property fmtid="{D5CDD505-2E9C-101B-9397-08002B2CF9AE}" pid="16" name="toc-title">
    <vt:lpwstr>Содержание</vt:lpwstr>
  </property>
</Properties>
</file>