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НКАбд-03-25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работа - освоение арифметических инструкций языка ассемблера NASM.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инфинформацию об арифметических операциях в NASM</w:t>
      </w:r>
    </w:p>
    <w:p>
      <w:pPr>
        <w:pStyle w:val="Compact"/>
        <w:numPr>
          <w:ilvl w:val="0"/>
          <w:numId w:val="1001"/>
        </w:numPr>
      </w:pPr>
      <w:r>
        <w:t xml:space="preserve">Выполнить лабораторную работу с использованием изученной информации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языке ассемблера NASM существуют три основных способа адресации операндов.</w:t>
      </w:r>
      <w:r>
        <w:t xml:space="preserve"> </w:t>
      </w:r>
      <w:r>
        <w:t xml:space="preserve">1. Регистровая адресация - операнды находятся в регистрах процессора (пример: mov ax, bx)</w:t>
      </w:r>
      <w:r>
        <w:t xml:space="preserve"> </w:t>
      </w:r>
      <w:r>
        <w:t xml:space="preserve">2. Непосредственная адресация - значение операнда задается непосредственно в команде (пример: mov ax, 2)</w:t>
      </w:r>
      <w:r>
        <w:t xml:space="preserve"> </w:t>
      </w:r>
      <w:r>
        <w:t xml:space="preserve">3. Адресация памяти - операнд указывает на адрес в памяти (пример: mov eax, [intg])</w:t>
      </w:r>
    </w:p>
    <w:p>
      <w:pPr>
        <w:pStyle w:val="BodyText"/>
      </w:pPr>
      <w:r>
        <w:t xml:space="preserve">Команда mov eax, [intg] загружает значение из памяти, а mov eax, intg загружает адрес переменной.</w:t>
      </w:r>
    </w:p>
    <w:p>
      <w:pPr>
        <w:pStyle w:val="BodyText"/>
      </w:pPr>
      <w:r>
        <w:t xml:space="preserve">В</w:t>
      </w:r>
      <w:r>
        <w:t xml:space="preserve"> </w:t>
      </w:r>
      <w:r>
        <w:t xml:space="preserve">[табл.</w:t>
      </w:r>
      <w:r>
        <w:t xml:space="preserve"> </w:t>
      </w:r>
      <w:r>
        <w:rPr>
          <w:b/>
          <w:bCs/>
        </w:rPr>
        <w:t xml:space="preserve">tbl?</w:t>
      </w:r>
      <w:r>
        <w:t xml:space="preserve">]</w:t>
      </w:r>
      <w:r>
        <w:t xml:space="preserve"> </w:t>
      </w:r>
      <w:r>
        <w:t xml:space="preserve">приведены основные арифметические команды в NASM.</w:t>
      </w:r>
    </w:p>
    <w:p>
      <w:pPr>
        <w:pStyle w:val="TableCaption"/>
      </w:pPr>
      <w:r>
        <w:t xml:space="preserve">Основные арифметические команды NASM {#tbl}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арифметические команды NASM {#tbl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Арифметическая 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Сложение</w:t>
            </w:r>
          </w:p>
        </w:tc>
        <w:tc>
          <w:tcPr/>
          <w:p>
            <w:pPr>
              <w:pStyle w:val="Compact"/>
            </w:pPr>
            <w:r>
              <w:t xml:space="preserve">add &lt;операнд1&gt;, &lt;операнд2&gt;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Вычитание</w:t>
            </w:r>
          </w:p>
        </w:tc>
        <w:tc>
          <w:tcPr/>
          <w:p>
            <w:pPr>
              <w:pStyle w:val="Compact"/>
            </w:pPr>
            <w:r>
              <w:t xml:space="preserve">sub &lt;операнд1&gt;, &lt;операнд2&gt;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Инкремент/декремент</w:t>
            </w:r>
          </w:p>
        </w:tc>
        <w:tc>
          <w:tcPr/>
          <w:p>
            <w:pPr>
              <w:pStyle w:val="Compact"/>
            </w:pPr>
            <w:r>
              <w:t xml:space="preserve">inc &lt;операнд&gt;, dec &lt;операнд&gt;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знака</w:t>
            </w:r>
          </w:p>
        </w:tc>
        <w:tc>
          <w:tcPr/>
          <w:p>
            <w:pPr>
              <w:pStyle w:val="Compact"/>
            </w:pPr>
            <w:r>
              <w:t xml:space="preserve">neg &lt;операнд&gt;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Умножение</w:t>
            </w:r>
          </w:p>
        </w:tc>
        <w:tc>
          <w:tcPr/>
          <w:p>
            <w:pPr>
              <w:pStyle w:val="Compact"/>
            </w:pPr>
            <w:r>
              <w:t xml:space="preserve">mul (беззнаковое), imul (знаковое)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Деление</w:t>
            </w:r>
          </w:p>
        </w:tc>
        <w:tc>
          <w:tcPr/>
          <w:p>
            <w:pPr>
              <w:pStyle w:val="Compact"/>
            </w:pPr>
            <w:r>
              <w:t xml:space="preserve">div (беззнаковое), idiv (знаковое)</w:t>
            </w:r>
          </w:p>
        </w:tc>
      </w:tr>
    </w:tbl>
    <w:p>
      <w:pPr>
        <w:pStyle w:val="BodyText"/>
      </w:pPr>
      <w:r>
        <w:t xml:space="preserve">Операции умножения и деления имеют особенности: один операнд задается явно, второй находится в регистрах AL/AX/EAX, а результат помещается в определенные пары регистров в зависимости от размера операндов.</w:t>
      </w:r>
    </w:p>
    <w:p>
      <w:pPr>
        <w:pStyle w:val="BodyText"/>
      </w:pPr>
      <w:r>
        <w:t xml:space="preserve">Ввод и вывод данных осуществляются в символьном виде с использованием кодировки ASCII. Для корректной работы с числами необходимо преобразование между символьным и числовым представлением с помощью специализированных функций.</w:t>
      </w:r>
    </w:p>
    <w:bookmarkEnd w:id="22"/>
    <w:bookmarkStart w:id="9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7" w:name="символьные-и-численные-данные-в-nasm"/>
    <w:p>
      <w:pPr>
        <w:pStyle w:val="Heading2"/>
      </w:pPr>
      <w:r>
        <w:t xml:space="preserve">4.1 Символьные и численные данные в NASM</w:t>
      </w:r>
    </w:p>
    <w:p>
      <w:pPr>
        <w:pStyle w:val="FirstParagraph"/>
      </w:pPr>
      <w:r>
        <w:t xml:space="preserve">Создадим каталог для программ лабораторной работы № 6. Внутри него создадим файл lab6-1.asm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267200" cy="114328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4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Начало работы с файлом</w:t>
            </w:r>
          </w:p>
          <w:bookmarkEnd w:id="26"/>
        </w:tc>
      </w:tr>
    </w:tbl>
    <w:p>
      <w:pPr>
        <w:pStyle w:val="BodyText"/>
      </w:pPr>
      <w:r>
        <w:t xml:space="preserve">Рассмотрим примеры программ вывода символьных и численных значений. Для этого введем в наш файл следующий текст программы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267200" cy="193595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3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Подготовка файла</w:t>
            </w:r>
          </w:p>
          <w:bookmarkEnd w:id="30"/>
        </w:tc>
      </w:tr>
    </w:tbl>
    <w:p>
      <w:pPr>
        <w:pStyle w:val="BodyText"/>
      </w:pPr>
      <w:r>
        <w:t xml:space="preserve">После создадим исполняемый файл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56365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63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Исполняемый файл</w:t>
            </w:r>
          </w:p>
          <w:bookmarkEnd w:id="34"/>
        </w:tc>
      </w:tr>
    </w:tbl>
    <w:p>
      <w:pPr>
        <w:pStyle w:val="BodyText"/>
      </w:pPr>
      <w:r>
        <w:t xml:space="preserve">Далее изменим текст программы и вместо символов, запишем в регистры числа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21140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1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Изменим код</w:t>
            </w:r>
          </w:p>
          <w:bookmarkEnd w:id="38"/>
        </w:tc>
      </w:tr>
    </w:tbl>
    <w:p>
      <w:pPr>
        <w:pStyle w:val="BodyText"/>
      </w:pPr>
      <w:r>
        <w:t xml:space="preserve">Снова создадим исполняемый файл. Проверим работу файла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66848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68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файла</w:t>
            </w:r>
          </w:p>
          <w:bookmarkEnd w:id="42"/>
        </w:tc>
      </w:tr>
    </w:tbl>
    <w:p>
      <w:pPr>
        <w:pStyle w:val="BodyText"/>
      </w:pPr>
      <w:r>
        <w:t xml:space="preserve">Теперь преобразуем текст программы так, чтобы были использованы другие функции. Для этого создадим файл lab6-2.asm в каталоге ~/work/arch-pc/lab06 и введем в него новый текст программы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200008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0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Второй файл</w:t>
            </w:r>
          </w:p>
          <w:bookmarkEnd w:id="46"/>
        </w:tc>
      </w:tr>
    </w:tbl>
    <w:p>
      <w:pPr>
        <w:pStyle w:val="BodyText"/>
      </w:pPr>
      <w:r>
        <w:t xml:space="preserve">Продемонстрируем работу файла. Создадим исполняемый файл и запустим его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267200" cy="58014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80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второго файла</w:t>
            </w:r>
          </w:p>
          <w:bookmarkEnd w:id="50"/>
        </w:tc>
      </w:tr>
    </w:tbl>
    <w:p>
      <w:pPr>
        <w:pStyle w:val="BodyText"/>
      </w:pPr>
      <w:r>
        <w:t xml:space="preserve">Аналогично предыдущему примеру заменим символы на числа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4267200" cy="167047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70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Новый код программы</w:t>
            </w:r>
          </w:p>
          <w:bookmarkEnd w:id="54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0"/>
          <w:p>
            <w:pPr>
              <w:pStyle w:val="Compact"/>
              <w:jc w:val="center"/>
            </w:pPr>
            <w:r>
              <w:drawing>
                <wp:inline>
                  <wp:extent cx="4267200" cy="83967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39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файла</w:t>
            </w:r>
          </w:p>
          <w:bookmarkEnd w:id="58"/>
        </w:tc>
      </w:tr>
    </w:tbl>
    <w:p>
      <w:pPr>
        <w:pStyle w:val="BodyText"/>
      </w:pPr>
      <w:r>
        <w:t xml:space="preserve">Теперь заменим функцию iprintLF на print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4267200" cy="157212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72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Новый код</w:t>
            </w:r>
          </w:p>
          <w:bookmarkEnd w:id="62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2"/>
          <w:p>
            <w:pPr>
              <w:pStyle w:val="Compact"/>
              <w:jc w:val="center"/>
            </w:pPr>
            <w:r>
              <w:drawing>
                <wp:inline>
                  <wp:extent cx="4267200" cy="46763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67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Работа файла</w:t>
            </w:r>
          </w:p>
          <w:bookmarkEnd w:id="66"/>
        </w:tc>
      </w:tr>
    </w:tbl>
    <w:bookmarkEnd w:id="67"/>
    <w:bookmarkStart w:id="88" w:name="X8c0a1c151545696051e31eb8f7e02c7d54dd7c6"/>
    <w:p>
      <w:pPr>
        <w:pStyle w:val="Heading2"/>
      </w:pPr>
      <w:r>
        <w:t xml:space="preserve">4.2 Выполнение арифметических операций в NASM</w:t>
      </w:r>
    </w:p>
    <w:p>
      <w:pPr>
        <w:pStyle w:val="FirstParagraph"/>
      </w:pPr>
      <w:r>
        <w:t xml:space="preserve">Напишем программу для вычисления значения арифметического выражения. Для этого создадим файл lab6-3.asm. Запишем нужный код программы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4267200" cy="257266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72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Код программы</w:t>
            </w:r>
          </w:p>
          <w:bookmarkEnd w:id="71"/>
        </w:tc>
      </w:tr>
    </w:tbl>
    <w:p>
      <w:pPr>
        <w:pStyle w:val="BodyText"/>
      </w:pPr>
      <w:r>
        <w:t xml:space="preserve">Создадим исполняемый файл и проверим результат работы программы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4267200" cy="78752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87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Выполнение программы</w:t>
            </w:r>
          </w:p>
          <w:bookmarkEnd w:id="75"/>
        </w:tc>
      </w:tr>
    </w:tbl>
    <w:p>
      <w:pPr>
        <w:pStyle w:val="BodyText"/>
      </w:pPr>
      <w:r>
        <w:t xml:space="preserve">Далее найдём значение другого выражения. Для этого изменим текст программы. Проверим работу программы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5"/>
          <w:p>
            <w:pPr>
              <w:pStyle w:val="Compact"/>
              <w:jc w:val="center"/>
            </w:pPr>
            <w:r>
              <w:drawing>
                <wp:inline>
                  <wp:extent cx="4267200" cy="120518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05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Исполнение файла</w:t>
            </w:r>
          </w:p>
          <w:bookmarkEnd w:id="79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 номеру студенческого билета. Для написания кода создадим файл variant.asm. Введем в файл variant.asm следующую программу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6"/>
          <w:p>
            <w:pPr>
              <w:pStyle w:val="Compact"/>
              <w:jc w:val="center"/>
            </w:pPr>
            <w:r>
              <w:drawing>
                <wp:inline>
                  <wp:extent cx="4267200" cy="232058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20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Редактирование файла</w:t>
            </w:r>
          </w:p>
          <w:bookmarkEnd w:id="83"/>
        </w:tc>
      </w:tr>
    </w:tbl>
    <w:p>
      <w:pPr>
        <w:pStyle w:val="BodyText"/>
      </w:pPr>
      <w:r>
        <w:t xml:space="preserve">После этого проверим работу программы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7"/>
          <w:p>
            <w:pPr>
              <w:pStyle w:val="Compact"/>
              <w:jc w:val="center"/>
            </w:pPr>
            <w:r>
              <w:drawing>
                <wp:inline>
                  <wp:extent cx="4267200" cy="74495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44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 файла</w:t>
            </w:r>
          </w:p>
          <w:bookmarkEnd w:id="87"/>
        </w:tc>
      </w:tr>
    </w:tbl>
    <w:bookmarkEnd w:id="88"/>
    <w:bookmarkStart w:id="89" w:name="вопросы-лабораторной-работы"/>
    <w:p>
      <w:pPr>
        <w:pStyle w:val="Heading2"/>
      </w:pPr>
      <w:r>
        <w:t xml:space="preserve">4.3 Вопросы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Какие строки листинга 6.4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Строки, отвечающие за вывод сообщения</w:t>
      </w:r>
      <w:r>
        <w:t xml:space="preserve"> </w:t>
      </w:r>
      <w:r>
        <w:t xml:space="preserve">‘Ваш вариант:’</w:t>
      </w:r>
    </w:p>
    <w:p>
      <w:pPr>
        <w:pStyle w:val="SourceCode"/>
      </w:pPr>
      <w:r>
        <w:rPr>
          <w:rStyle w:val="VerbatimChar"/>
        </w:rPr>
        <w:t xml:space="preserve">   mov eax,rem</w:t>
      </w:r>
      <w:r>
        <w:br/>
      </w:r>
      <w:r>
        <w:rPr>
          <w:rStyle w:val="VerbatimChar"/>
        </w:rPr>
        <w:t xml:space="preserve">   call sprint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следующие инструкции?</w:t>
      </w:r>
    </w:p>
    <w:p>
      <w:pPr>
        <w:pStyle w:val="SourceCode"/>
      </w:pPr>
      <w:r>
        <w:rPr>
          <w:rStyle w:val="VerbatimChar"/>
        </w:rPr>
        <w:t xml:space="preserve">mov</w:t>
      </w:r>
      <w:r>
        <w:br/>
      </w:r>
      <w:r>
        <w:rPr>
          <w:rStyle w:val="VerbatimChar"/>
        </w:rPr>
        <w:t xml:space="preserve">ecx, x</w:t>
      </w:r>
      <w:r>
        <w:br/>
      </w:r>
      <w:r>
        <w:rPr>
          <w:rStyle w:val="VerbatimChar"/>
        </w:rPr>
        <w:t xml:space="preserve">mov</w:t>
      </w:r>
      <w:r>
        <w:br/>
      </w:r>
      <w:r>
        <w:rPr>
          <w:rStyle w:val="VerbatimChar"/>
        </w:rPr>
        <w:t xml:space="preserve">edx, 80</w:t>
      </w:r>
      <w:r>
        <w:br/>
      </w:r>
      <w:r>
        <w:rPr>
          <w:rStyle w:val="VerbatimChar"/>
        </w:rPr>
        <w:t xml:space="preserve">call sread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данные инструкции используются для помещения адреса переменной x в регистр ecx, указания максимальной длины ввода (80 символов) и вызова подпрограммы чтения строки с клавиатуры</w:t>
      </w:r>
    </w:p>
    <w:p>
      <w:pPr>
        <w:pStyle w:val="Compact"/>
        <w:numPr>
          <w:ilvl w:val="0"/>
          <w:numId w:val="1004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‘call atoi’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функция atoi преобразует ascii-код символа в целое число и записывает результат в регистр eax.</w:t>
      </w:r>
    </w:p>
    <w:p>
      <w:pPr>
        <w:pStyle w:val="Compact"/>
        <w:numPr>
          <w:ilvl w:val="0"/>
          <w:numId w:val="1005"/>
        </w:numPr>
      </w:pPr>
      <w:r>
        <w:t xml:space="preserve">Какие строки листинга 6.4 отвечают за вычисления варианта?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строки, отвечающие за вычисления варианта.</w:t>
      </w:r>
    </w:p>
    <w:p>
      <w:pPr>
        <w:pStyle w:val="SourceCode"/>
      </w:pPr>
      <w:r>
        <w:rPr>
          <w:rStyle w:val="VerbatimChar"/>
        </w:rPr>
        <w:t xml:space="preserve">   xor edx,edx</w:t>
      </w:r>
      <w:r>
        <w:br/>
      </w:r>
      <w:r>
        <w:rPr>
          <w:rStyle w:val="VerbatimChar"/>
        </w:rPr>
        <w:t xml:space="preserve">   mov ebx,20</w:t>
      </w:r>
      <w:r>
        <w:br/>
      </w:r>
      <w:r>
        <w:rPr>
          <w:rStyle w:val="VerbatimChar"/>
        </w:rPr>
        <w:t xml:space="preserve">   div ebx</w:t>
      </w:r>
      <w:r>
        <w:br/>
      </w:r>
      <w:r>
        <w:rPr>
          <w:rStyle w:val="VerbatimChar"/>
        </w:rPr>
        <w:t xml:space="preserve">   inc edx</w:t>
      </w:r>
    </w:p>
    <w:p>
      <w:pPr>
        <w:pStyle w:val="Compact"/>
        <w:numPr>
          <w:ilvl w:val="0"/>
          <w:numId w:val="1006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‘div ebx’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07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‘inc edx’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на 1 остатка от деления (номера варианта), поскольку варианты нумеруются с 1, а не с 0.</w:t>
      </w:r>
    </w:p>
    <w:p>
      <w:pPr>
        <w:pStyle w:val="Compact"/>
        <w:numPr>
          <w:ilvl w:val="0"/>
          <w:numId w:val="1008"/>
        </w:numPr>
      </w:pPr>
      <w:r>
        <w:t xml:space="preserve">Какие строки листинга 6.4 отвечают за вывод на экран результата вычислений?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строки, отвечающие за вывод результата вычислений.</w:t>
      </w:r>
    </w:p>
    <w:p>
      <w:pPr>
        <w:pStyle w:val="SourceCode"/>
      </w:pPr>
      <w:r>
        <w:rPr>
          <w:rStyle w:val="VerbatimChar"/>
        </w:rPr>
        <w:t xml:space="preserve">   mov eax,edx</w:t>
      </w:r>
      <w:r>
        <w:br/>
      </w:r>
      <w:r>
        <w:rPr>
          <w:rStyle w:val="VerbatimChar"/>
        </w:rPr>
        <w:t xml:space="preserve">   call iprintLF</w:t>
      </w:r>
    </w:p>
    <w:bookmarkEnd w:id="89"/>
    <w:bookmarkEnd w:id="90"/>
    <w:bookmarkStart w:id="95" w:name="задание-для-самостоятельной-работы"/>
    <w:p>
      <w:pPr>
        <w:pStyle w:val="Heading1"/>
      </w:pPr>
      <w:r>
        <w:t xml:space="preserve">5. Задание для самостоятельной работы</w:t>
      </w:r>
    </w:p>
    <w:p>
      <w:pPr>
        <w:pStyle w:val="FirstParagraph"/>
      </w:pPr>
      <w:r>
        <w:t xml:space="preserve">Напишем программу для вычисления значения функции. Затем проверим работу программы для различных функций и входных данных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4267200" cy="103170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3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Самостоятельная работа</w:t>
            </w:r>
          </w:p>
          <w:bookmarkEnd w:id="94"/>
        </w:tc>
      </w:tr>
    </w:tbl>
    <w:bookmarkEnd w:id="95"/>
    <w:bookmarkStart w:id="9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лабораторной работы была достигнута основная цель - освоение арифметических инструкций языка ассемблера NASM. На практике были успешно применены команды сложения (add), вычитания (sub), умножения (mul/imul) и деления (div/idiv), а также изучены особенности работы с операндами в регистрах и памяти. Особое внимание было уделено правилам использования регистров при операциях умножения и деления, где результат занимает фиксированные пары регистров в зависимости от размера операндов.</w:t>
      </w:r>
    </w:p>
    <w:p>
      <w:pPr>
        <w:pStyle w:val="BodyText"/>
      </w:pPr>
      <w:r>
        <w:t xml:space="preserve">Важным результатом работы стало освоение методики преобразования данных между символьным и числовым представлением с использованием подпрограмм iprint, iprintLF и atoi. Практическое применение этих функций позволило организовать корректный ввод-вывод данных и выполнение арифметических операций над числами, введенными пользователем. Полученные навыки программирования на языке ассемблера NASM являются фундаментальными для дальнейшего изучения архитектуры ЭВМ и низкоуровневого программирования.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Кулаженкова Яна Сергеевна</dc:creator>
  <dc:language>ru-RU</dc:language>
  <cp:keywords/>
  <dcterms:created xsi:type="dcterms:W3CDTF">2025-11-16T20:31:12Z</dcterms:created>
  <dcterms:modified xsi:type="dcterms:W3CDTF">2025-11-16T20:31:12Z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НКАбд-03-25</vt:lpwstr>
  </property>
  <property fmtid="{D5CDD505-2E9C-101B-9397-08002B2CF9AE}" pid="16" name="toc-title">
    <vt:lpwstr>Содержание</vt:lpwstr>
  </property>
</Properties>
</file>