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5546">
      <w:pPr>
        <w:widowControl w:val="0"/>
        <w:autoSpaceDE w:val="0"/>
        <w:autoSpaceDN w:val="0"/>
        <w:spacing w:before="67" w:after="0" w:line="360" w:lineRule="auto"/>
        <w:ind w:left="745" w:right="746" w:firstLine="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Министерство образования и науки Республики Башкортостан Государственное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автономное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профессиональное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образовательное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учреждение</w:t>
      </w:r>
    </w:p>
    <w:p w14:paraId="185F79A3">
      <w:pPr>
        <w:widowControl w:val="0"/>
        <w:autoSpaceDE w:val="0"/>
        <w:autoSpaceDN w:val="0"/>
        <w:spacing w:before="1" w:after="0" w:line="240" w:lineRule="auto"/>
        <w:ind w:left="7" w:right="4"/>
        <w:jc w:val="center"/>
        <w:rPr>
          <w:rFonts w:ascii="Times New Roman" w:hAnsi="Times New Roman" w:eastAsia="Times New Roman" w:cs="Times New Roman"/>
          <w:sz w:val="27"/>
        </w:rPr>
      </w:pPr>
      <w:r>
        <w:rPr>
          <w:rFonts w:ascii="Times New Roman" w:hAnsi="Times New Roman" w:eastAsia="Times New Roman" w:cs="Times New Roman"/>
          <w:sz w:val="27"/>
        </w:rPr>
        <w:t>Уфимский</w:t>
      </w:r>
      <w:r>
        <w:rPr>
          <w:rFonts w:ascii="Times New Roman" w:hAnsi="Times New Roman" w:eastAsia="Times New Roman" w:cs="Times New Roman"/>
          <w:spacing w:val="-12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колледж</w:t>
      </w:r>
      <w:r>
        <w:rPr>
          <w:rFonts w:ascii="Times New Roman" w:hAnsi="Times New Roman" w:eastAsia="Times New Roman" w:cs="Times New Roman"/>
          <w:spacing w:val="-10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статистики,</w:t>
      </w:r>
      <w:r>
        <w:rPr>
          <w:rFonts w:ascii="Times New Roman" w:hAnsi="Times New Roman" w:eastAsia="Times New Roman" w:cs="Times New Roman"/>
          <w:spacing w:val="-9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информатики</w:t>
      </w:r>
      <w:r>
        <w:rPr>
          <w:rFonts w:ascii="Times New Roman" w:hAnsi="Times New Roman" w:eastAsia="Times New Roman" w:cs="Times New Roman"/>
          <w:spacing w:val="-10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и</w:t>
      </w:r>
      <w:r>
        <w:rPr>
          <w:rFonts w:ascii="Times New Roman" w:hAnsi="Times New Roman" w:eastAsia="Times New Roman" w:cs="Times New Roman"/>
          <w:spacing w:val="-10"/>
          <w:sz w:val="27"/>
        </w:rPr>
        <w:t xml:space="preserve"> </w:t>
      </w:r>
      <w:r>
        <w:rPr>
          <w:rFonts w:ascii="Times New Roman" w:hAnsi="Times New Roman" w:eastAsia="Times New Roman" w:cs="Times New Roman"/>
          <w:sz w:val="27"/>
        </w:rPr>
        <w:t>вычислительной</w:t>
      </w:r>
      <w:r>
        <w:rPr>
          <w:rFonts w:ascii="Times New Roman" w:hAnsi="Times New Roman" w:eastAsia="Times New Roman" w:cs="Times New Roman"/>
          <w:spacing w:val="-9"/>
          <w:sz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7"/>
        </w:rPr>
        <w:t>техники</w:t>
      </w:r>
    </w:p>
    <w:p w14:paraId="0A15D5D2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557E164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42C38B3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00D335C5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2E80E768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3F2C339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104D79BF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3E5E7771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4322325A">
      <w:pPr>
        <w:widowControl w:val="0"/>
        <w:autoSpaceDE w:val="0"/>
        <w:autoSpaceDN w:val="0"/>
        <w:spacing w:before="119" w:after="0" w:line="240" w:lineRule="auto"/>
        <w:rPr>
          <w:rFonts w:ascii="Times New Roman" w:hAnsi="Times New Roman" w:eastAsia="Times New Roman" w:cs="Times New Roman"/>
          <w:sz w:val="27"/>
          <w:szCs w:val="28"/>
        </w:rPr>
      </w:pPr>
    </w:p>
    <w:p w14:paraId="38486F1F">
      <w:pPr>
        <w:widowControl w:val="0"/>
        <w:autoSpaceDE w:val="0"/>
        <w:autoSpaceDN w:val="0"/>
        <w:spacing w:before="1" w:after="0" w:line="240" w:lineRule="auto"/>
        <w:ind w:left="7"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Отчёт</w:t>
      </w:r>
    </w:p>
    <w:p w14:paraId="2A0C5E04">
      <w:pPr>
        <w:widowControl w:val="0"/>
        <w:autoSpaceDE w:val="0"/>
        <w:autoSpaceDN w:val="0"/>
        <w:spacing w:before="207" w:after="0" w:line="240" w:lineRule="auto"/>
        <w:ind w:left="7" w:right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юзабилити-</w:t>
      </w:r>
      <w:r>
        <w:rPr>
          <w:rFonts w:ascii="Times New Roman" w:hAnsi="Times New Roman" w:eastAsia="Times New Roman" w:cs="Times New Roman"/>
          <w:sz w:val="28"/>
          <w:szCs w:val="28"/>
        </w:rPr>
        <w:t>тестированию программы</w:t>
      </w:r>
    </w:p>
    <w:p w14:paraId="7EFFD004">
      <w:pPr>
        <w:widowControl w:val="0"/>
        <w:autoSpaceDE w:val="0"/>
        <w:autoSpaceDN w:val="0"/>
        <w:spacing w:before="206" w:after="0" w:line="360" w:lineRule="auto"/>
        <w:ind w:left="7" w:right="5"/>
        <w:jc w:val="center"/>
        <w:rPr>
          <w:rFonts w:ascii="Times New Roman" w:hAnsi="Times New Roman" w:eastAsia="Times New Roman" w:cs="Times New Roman"/>
          <w:sz w:val="36"/>
        </w:rPr>
      </w:pPr>
    </w:p>
    <w:p w14:paraId="26E0443B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7E23F412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06B383EE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121F4BDC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p w14:paraId="0664334D">
      <w:pPr>
        <w:widowControl w:val="0"/>
        <w:autoSpaceDE w:val="0"/>
        <w:autoSpaceDN w:val="0"/>
        <w:spacing w:before="82" w:after="0" w:line="240" w:lineRule="auto"/>
        <w:rPr>
          <w:rFonts w:ascii="Times New Roman" w:hAnsi="Times New Roman" w:eastAsia="Times New Roman" w:cs="Times New Roman"/>
          <w:sz w:val="20"/>
          <w:szCs w:val="28"/>
        </w:rPr>
      </w:pPr>
    </w:p>
    <w:tbl>
      <w:tblPr>
        <w:tblStyle w:val="5"/>
        <w:tblW w:w="4465" w:type="dxa"/>
        <w:tblInd w:w="50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5"/>
      </w:tblGrid>
      <w:tr w14:paraId="480D7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4465" w:type="dxa"/>
          </w:tcPr>
          <w:p w14:paraId="05BC0D94">
            <w:pPr>
              <w:widowControl w:val="0"/>
              <w:autoSpaceDE w:val="0"/>
              <w:autoSpaceDN w:val="0"/>
              <w:spacing w:after="0" w:line="311" w:lineRule="exact"/>
              <w:ind w:left="50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lang w:val="ru-RU"/>
              </w:rPr>
              <w:t>Проверила</w:t>
            </w:r>
          </w:p>
          <w:p w14:paraId="010FA623">
            <w:pPr>
              <w:widowControl w:val="0"/>
              <w:tabs>
                <w:tab w:val="left" w:pos="2106"/>
              </w:tabs>
              <w:autoSpaceDE w:val="0"/>
              <w:autoSpaceDN w:val="0"/>
              <w:spacing w:before="163" w:after="0" w:line="240" w:lineRule="auto"/>
              <w:ind w:left="218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lang w:val="ru-RU"/>
              </w:rPr>
              <w:t>Каримова Р.Ф.</w:t>
            </w:r>
          </w:p>
          <w:p w14:paraId="7504E014">
            <w:pPr>
              <w:widowControl w:val="0"/>
              <w:tabs>
                <w:tab w:val="left" w:pos="610"/>
                <w:tab w:val="left" w:pos="2985"/>
              </w:tabs>
              <w:autoSpaceDE w:val="0"/>
              <w:autoSpaceDN w:val="0"/>
              <w:spacing w:before="160" w:after="0" w:line="240" w:lineRule="auto"/>
              <w:ind w:left="50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lang w:val="ru-RU"/>
              </w:rPr>
              <w:t xml:space="preserve">«   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 xml:space="preserve">»   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2025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  <w:lang w:val="ru-RU"/>
              </w:rPr>
              <w:t>г.</w:t>
            </w:r>
          </w:p>
        </w:tc>
      </w:tr>
      <w:tr w14:paraId="69F91F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4" w:hRule="atLeast"/>
        </w:trPr>
        <w:tc>
          <w:tcPr>
            <w:tcW w:w="4465" w:type="dxa"/>
          </w:tcPr>
          <w:p w14:paraId="0BA2354E">
            <w:pPr>
              <w:widowControl w:val="0"/>
              <w:autoSpaceDE w:val="0"/>
              <w:autoSpaceDN w:val="0"/>
              <w:spacing w:before="315" w:after="0" w:line="360" w:lineRule="auto"/>
              <w:ind w:left="50" w:right="1932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8"/>
                <w:lang w:val="ru-RU"/>
              </w:rPr>
              <w:t xml:space="preserve">Выполнили 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студенты</w:t>
            </w:r>
            <w:r>
              <w:rPr>
                <w:rFonts w:ascii="Times New Roman" w:hAnsi="Times New Roman" w:eastAsia="Times New Roman" w:cs="Times New Roman"/>
                <w:spacing w:val="-18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 xml:space="preserve">гр. 22П-1      </w:t>
            </w:r>
          </w:p>
          <w:p w14:paraId="4C6D0232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Петрова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Я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.А.</w:t>
            </w:r>
          </w:p>
          <w:p w14:paraId="6B06C478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   Ахкамова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К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.И.</w:t>
            </w:r>
          </w:p>
          <w:p w14:paraId="2934F6C9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   Джачвадзе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А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.Г.</w:t>
            </w:r>
          </w:p>
          <w:p w14:paraId="7B829D96">
            <w:pPr>
              <w:widowControl w:val="0"/>
              <w:tabs>
                <w:tab w:val="left" w:pos="2106"/>
              </w:tabs>
              <w:autoSpaceDE w:val="0"/>
              <w:autoSpaceDN w:val="0"/>
              <w:spacing w:after="0" w:line="317" w:lineRule="exact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                                   Рахмаев</w:t>
            </w:r>
            <w:r>
              <w:rPr>
                <w:rFonts w:hint="default" w:ascii="Times New Roman" w:hAnsi="Times New Roman" w:eastAsia="Times New Roman" w:cs="Times New Roman"/>
                <w:sz w:val="28"/>
                <w:u w:val="single"/>
                <w:lang w:val="ru-RU"/>
              </w:rPr>
              <w:t xml:space="preserve"> Д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>.Д.</w:t>
            </w:r>
          </w:p>
          <w:p w14:paraId="46B9E353">
            <w:pPr>
              <w:widowControl w:val="0"/>
              <w:tabs>
                <w:tab w:val="left" w:pos="610"/>
                <w:tab w:val="left" w:pos="2985"/>
              </w:tabs>
              <w:autoSpaceDE w:val="0"/>
              <w:autoSpaceDN w:val="0"/>
              <w:spacing w:before="161" w:after="0" w:line="302" w:lineRule="exact"/>
              <w:ind w:left="50"/>
              <w:rPr>
                <w:rFonts w:ascii="Times New Roman" w:hAnsi="Times New Roman" w:eastAsia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  <w:lang w:val="ru-RU"/>
              </w:rPr>
              <w:t>«</w:t>
            </w:r>
            <w:r>
              <w:rPr>
                <w:rFonts w:hint="default" w:ascii="Times New Roman" w:hAnsi="Times New Roman" w:eastAsia="Times New Roman" w:cs="Times New Roman"/>
                <w:spacing w:val="-10"/>
                <w:sz w:val="28"/>
                <w:lang w:val="ru-RU"/>
              </w:rPr>
              <w:t>10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» ноября</w:t>
            </w:r>
            <w:r>
              <w:rPr>
                <w:rFonts w:ascii="Times New Roman" w:hAnsi="Times New Roman" w:eastAsia="Times New Roman" w:cs="Times New Roman"/>
                <w:sz w:val="28"/>
                <w:u w:val="single"/>
                <w:lang w:val="ru-RU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</w:rPr>
              <w:t>2025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  <w:lang w:val="ru-RU"/>
              </w:rPr>
              <w:t>г.</w:t>
            </w:r>
          </w:p>
        </w:tc>
      </w:tr>
    </w:tbl>
    <w:p w14:paraId="70725F9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5CEE1F60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35F1F7A8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Уфа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2025</w:t>
      </w:r>
    </w:p>
    <w:p w14:paraId="1EA56182">
      <w:pPr>
        <w:numPr>
          <w:numId w:val="0"/>
        </w:numPr>
        <w:rPr>
          <w:rFonts w:hint="default"/>
          <w:lang w:val="ru-RU"/>
        </w:rPr>
      </w:pPr>
    </w:p>
    <w:p w14:paraId="07B5C5E6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5B0AC69C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рамках проведения испытаний веб-приложения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Wavely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было выполнено юзабилити-тестирование.</w:t>
      </w:r>
    </w:p>
    <w:p w14:paraId="0E96717B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Целью тестирования являлась оценка соответствия интерфейса и взаимодействия пользования. Данный метод позволяет оценить степень пригодности программного продукта для эффективного применения конечными пользователями</w:t>
      </w:r>
    </w:p>
    <w:p w14:paraId="0A9AB757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7B6EAB2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973A18F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43A8197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FFEFC88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8595CFD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8FFD585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07A347A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616E7DC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8E0CA53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6CB83A9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5A88795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59DE3E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A4A764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2FA8D4D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70C071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B4047E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9F3F2B8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2176F4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D407A9">
      <w:pPr>
        <w:numPr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EC3E46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B2CCC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Таблица 1.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 w:eastAsia="zh-CN"/>
        </w:rPr>
        <w:t>Юзабилити-тестирование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0"/>
        <w:gridCol w:w="2864"/>
        <w:gridCol w:w="2828"/>
      </w:tblGrid>
      <w:tr w14:paraId="5886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9951A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Usability</w:t>
            </w:r>
          </w:p>
        </w:tc>
        <w:tc>
          <w:tcPr>
            <w:tcW w:w="2841" w:type="dxa"/>
          </w:tcPr>
          <w:p w14:paraId="25BE522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Плюсы</w:t>
            </w:r>
          </w:p>
        </w:tc>
        <w:tc>
          <w:tcPr>
            <w:tcW w:w="2841" w:type="dxa"/>
          </w:tcPr>
          <w:p w14:paraId="31EA8C0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Минусы</w:t>
            </w:r>
          </w:p>
        </w:tc>
      </w:tr>
      <w:tr w14:paraId="611C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AC62F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Оценка соответствия функциональности приложения</w:t>
            </w:r>
          </w:p>
        </w:tc>
        <w:tc>
          <w:tcPr>
            <w:tcW w:w="2841" w:type="dxa"/>
          </w:tcPr>
          <w:p w14:paraId="78D495F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Программа в целом соответствует основным функциональным требованиям, однако интерфейс содержит ряд критических и косметических недочётов, снижающих эффективность работы пользователя.</w:t>
            </w:r>
          </w:p>
        </w:tc>
        <w:tc>
          <w:tcPr>
            <w:tcW w:w="2841" w:type="dxa"/>
          </w:tcPr>
          <w:p w14:paraId="6A72279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5261A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8EB03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Оценка соответствия дизайна</w:t>
            </w:r>
          </w:p>
        </w:tc>
        <w:tc>
          <w:tcPr>
            <w:tcW w:w="2841" w:type="dxa"/>
          </w:tcPr>
          <w:p w14:paraId="528CD4E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Дизайн полностью соответствует макету,приятно глазу и лёгок в понимании.</w:t>
            </w:r>
          </w:p>
        </w:tc>
        <w:tc>
          <w:tcPr>
            <w:tcW w:w="2841" w:type="dxa"/>
          </w:tcPr>
          <w:p w14:paraId="3B08015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0CA7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30724B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3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ru-RU" w:eastAsia="zh-CN"/>
              </w:rPr>
              <w:t>Анализ графических элементов и цветового оформления</w:t>
            </w:r>
          </w:p>
        </w:tc>
        <w:tc>
          <w:tcPr>
            <w:tcW w:w="2841" w:type="dxa"/>
          </w:tcPr>
          <w:p w14:paraId="371B23A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Цветовая палитра (чёрный, фиолетовый, голубой, белый) выглядит профессионально и не перегружает зрение. Кнопка основного действия генерации выделена контрастным переливающимся цветом.</w:t>
            </w:r>
          </w:p>
        </w:tc>
        <w:tc>
          <w:tcPr>
            <w:tcW w:w="2841" w:type="dxa"/>
          </w:tcPr>
          <w:p w14:paraId="7D2BECA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1C74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BDB78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Удобство навигации</w:t>
            </w:r>
          </w:p>
        </w:tc>
        <w:tc>
          <w:tcPr>
            <w:tcW w:w="2841" w:type="dxa"/>
          </w:tcPr>
          <w:p w14:paraId="5403B06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 целом все элементы окна имеют удобную навигацию и переходы.</w:t>
            </w:r>
          </w:p>
        </w:tc>
        <w:tc>
          <w:tcPr>
            <w:tcW w:w="2841" w:type="dxa"/>
          </w:tcPr>
          <w:p w14:paraId="2D0A0B1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2601E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83E39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Текстовое оформление и наполнение</w:t>
            </w:r>
          </w:p>
        </w:tc>
        <w:tc>
          <w:tcPr>
            <w:tcW w:w="2841" w:type="dxa"/>
          </w:tcPr>
          <w:p w14:paraId="19EEF22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Названия основных разделов (Авторизация, Регистрация, Главное окно, Профиль, Генератор музыки) понятны и соответствуют их содержимому.</w:t>
            </w:r>
          </w:p>
        </w:tc>
        <w:tc>
          <w:tcPr>
            <w:tcW w:w="2841" w:type="dxa"/>
          </w:tcPr>
          <w:p w14:paraId="7EE8C90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13BA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76C2CD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Анализ шрифтового оформления текста</w:t>
            </w:r>
          </w:p>
        </w:tc>
        <w:tc>
          <w:tcPr>
            <w:tcW w:w="2841" w:type="dxa"/>
          </w:tcPr>
          <w:p w14:paraId="311149D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Для основного текста используется стандартный системный шрифт , что обеспечивает хорошую читаемость.</w:t>
            </w:r>
          </w:p>
        </w:tc>
        <w:tc>
          <w:tcPr>
            <w:tcW w:w="2841" w:type="dxa"/>
          </w:tcPr>
          <w:p w14:paraId="7F2FC74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5FDE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526C72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Удобство использования функций</w:t>
            </w:r>
          </w:p>
        </w:tc>
        <w:tc>
          <w:tcPr>
            <w:tcW w:w="2841" w:type="dxa"/>
          </w:tcPr>
          <w:p w14:paraId="5FFF713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Генерация музыки, добавление трека в избранное, авторизация/регистрация, выход из аккаунта и т.д интуитивно понятно и легко</w:t>
            </w:r>
          </w:p>
        </w:tc>
        <w:tc>
          <w:tcPr>
            <w:tcW w:w="2841" w:type="dxa"/>
          </w:tcPr>
          <w:p w14:paraId="0899C6B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</w:tbl>
    <w:p w14:paraId="295EDE7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6B227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Таблица 2. Оценка по принципам юзабилити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CC0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C8D29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Принцип</w:t>
            </w:r>
          </w:p>
        </w:tc>
        <w:tc>
          <w:tcPr>
            <w:tcW w:w="2841" w:type="dxa"/>
          </w:tcPr>
          <w:p w14:paraId="22F56FA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Пользователь</w:t>
            </w:r>
          </w:p>
        </w:tc>
        <w:tc>
          <w:tcPr>
            <w:tcW w:w="2841" w:type="dxa"/>
          </w:tcPr>
          <w:p w14:paraId="1D034FE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Общая оценка</w:t>
            </w:r>
          </w:p>
        </w:tc>
      </w:tr>
      <w:tr w14:paraId="305D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24081A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Информативность системы</w:t>
            </w:r>
          </w:p>
        </w:tc>
        <w:tc>
          <w:tcPr>
            <w:tcW w:w="2841" w:type="dxa"/>
          </w:tcPr>
          <w:p w14:paraId="50C455C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3A6E584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Высокая</w:t>
            </w:r>
          </w:p>
        </w:tc>
      </w:tr>
      <w:tr w14:paraId="2DD0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DDD79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Приближенность к реальному миру</w:t>
            </w:r>
          </w:p>
        </w:tc>
        <w:tc>
          <w:tcPr>
            <w:tcW w:w="2841" w:type="dxa"/>
          </w:tcPr>
          <w:p w14:paraId="0DA0249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0139430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Высокая</w:t>
            </w:r>
          </w:p>
        </w:tc>
      </w:tr>
      <w:tr w14:paraId="1F62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E1977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Наличие выходов к реальному миру</w:t>
            </w:r>
          </w:p>
        </w:tc>
        <w:tc>
          <w:tcPr>
            <w:tcW w:w="2841" w:type="dxa"/>
          </w:tcPr>
          <w:p w14:paraId="6C3BF70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5C0635D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Средняя</w:t>
            </w:r>
          </w:p>
        </w:tc>
      </w:tr>
      <w:tr w14:paraId="381A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E069B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Однозначность</w:t>
            </w:r>
          </w:p>
        </w:tc>
        <w:tc>
          <w:tcPr>
            <w:tcW w:w="2841" w:type="dxa"/>
          </w:tcPr>
          <w:p w14:paraId="64B62AF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68DC7F7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Высокая</w:t>
            </w:r>
          </w:p>
        </w:tc>
      </w:tr>
      <w:tr w14:paraId="7D30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2" w:hRule="atLeast"/>
        </w:trPr>
        <w:tc>
          <w:tcPr>
            <w:tcW w:w="2840" w:type="dxa"/>
          </w:tcPr>
          <w:p w14:paraId="0156501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Предусмотрительность</w:t>
            </w:r>
          </w:p>
        </w:tc>
        <w:tc>
          <w:tcPr>
            <w:tcW w:w="2841" w:type="dxa"/>
          </w:tcPr>
          <w:p w14:paraId="6B522FF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29D245F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Высокая</w:t>
            </w:r>
          </w:p>
        </w:tc>
      </w:tr>
      <w:tr w14:paraId="602F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EC703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Наглядность</w:t>
            </w:r>
          </w:p>
        </w:tc>
        <w:tc>
          <w:tcPr>
            <w:tcW w:w="2841" w:type="dxa"/>
          </w:tcPr>
          <w:p w14:paraId="76A7802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35DBFED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Средняя</w:t>
            </w:r>
          </w:p>
        </w:tc>
      </w:tr>
      <w:tr w14:paraId="7752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7E5D8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Гибкость и эффективность</w:t>
            </w:r>
          </w:p>
        </w:tc>
        <w:tc>
          <w:tcPr>
            <w:tcW w:w="2841" w:type="dxa"/>
          </w:tcPr>
          <w:p w14:paraId="63DFFDC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69A16A8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Средняя</w:t>
            </w:r>
          </w:p>
        </w:tc>
      </w:tr>
      <w:tr w14:paraId="25CE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BDF19F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Лаконичность и точность</w:t>
            </w:r>
          </w:p>
        </w:tc>
        <w:tc>
          <w:tcPr>
            <w:tcW w:w="2841" w:type="dxa"/>
          </w:tcPr>
          <w:p w14:paraId="56EA7B2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Соответствует</w:t>
            </w:r>
          </w:p>
        </w:tc>
        <w:tc>
          <w:tcPr>
            <w:tcW w:w="2841" w:type="dxa"/>
          </w:tcPr>
          <w:p w14:paraId="0802B4E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Средняя</w:t>
            </w:r>
          </w:p>
        </w:tc>
      </w:tr>
      <w:tr w14:paraId="330B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556F3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Лояльность к ошибкам</w:t>
            </w:r>
          </w:p>
        </w:tc>
        <w:tc>
          <w:tcPr>
            <w:tcW w:w="2841" w:type="dxa"/>
          </w:tcPr>
          <w:p w14:paraId="1F6A48B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Неполное</w:t>
            </w:r>
          </w:p>
        </w:tc>
        <w:tc>
          <w:tcPr>
            <w:tcW w:w="2841" w:type="dxa"/>
          </w:tcPr>
          <w:p w14:paraId="40925F3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Средняя</w:t>
            </w:r>
          </w:p>
        </w:tc>
      </w:tr>
      <w:tr w14:paraId="712B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82CE3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Наличие справки</w:t>
            </w:r>
          </w:p>
        </w:tc>
        <w:tc>
          <w:tcPr>
            <w:tcW w:w="2841" w:type="dxa"/>
          </w:tcPr>
          <w:p w14:paraId="5DE8608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 соответствует</w:t>
            </w:r>
          </w:p>
        </w:tc>
        <w:tc>
          <w:tcPr>
            <w:tcW w:w="2841" w:type="dxa"/>
          </w:tcPr>
          <w:p w14:paraId="1C8ABFC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Низкая</w:t>
            </w:r>
          </w:p>
        </w:tc>
      </w:tr>
    </w:tbl>
    <w:p w14:paraId="7E3F1CDD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4DE6E8E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47D916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DC8D9BB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753AF39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DEDDF1D">
      <w:pPr>
        <w:numPr>
          <w:numId w:val="0"/>
        </w:numPr>
        <w:ind w:firstLine="708" w:firstLineChars="0"/>
        <w:jc w:val="left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en-US"/>
        </w:rPr>
        <w:t>Проведённое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тестирование показало, что программа не только полностью функциональна, но и обеспечивает отличный пользовательский опыт. Интерфейс является интуитивно понятным, а логика работы всех элементов — предсказуемой и продуманной.</w:t>
      </w:r>
    </w:p>
    <w:p w14:paraId="5A7E0DDA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ru-RU"/>
        </w:rPr>
        <w:t>Элементы интерфейса визуально гармоничны, навигация проста и логична, а управление функциями не вызывает затруднений. Программа готова к использованию и, с высокой долей вероятности, будет положительно воспринята конечными пользователями.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Bergamasc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gamasco">
    <w:panose1 w:val="02000500000000000000"/>
    <w:charset w:val="00"/>
    <w:family w:val="auto"/>
    <w:pitch w:val="default"/>
    <w:sig w:usb0="000002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217E2"/>
    <w:rsid w:val="0C12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Normal"/>
    <w:semiHidden/>
    <w:qFormat/>
    <w:uiPriority w:val="2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2025-11-13T08:40:00Z</dcterms:created>
  <dc:creator>Анна Джачвадзе</dc:creator>
  <cp:lastModifiedBy>Анна Джачвадзе</cp:lastModifiedBy>
  <dcterms:modified xsi:type="dcterms:W3CDTF">2025-11-14T03:28:09Z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2E352194F90948229967A8C2B680F212_11</vt:lpwstr>
  </property>
</Properties>
</file>