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Из его лекций и семинаров с пометкой “доказать” или  “дз”, вполне может быть как задача или часть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Если два класса эквивалентности имеют непустое пересечение, то они совпадают 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610350" cy="6477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/>
              <w:drawing>
                <wp:inline distB="114300" distT="114300" distL="114300" distR="114300">
                  <wp:extent cx="5943600" cy="4826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Док-во От обратного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/>
              <w:drawing>
                <wp:inline distB="114300" distT="114300" distL="114300" distR="114300">
                  <wp:extent cx="5943600" cy="5842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/>
              <w:drawing>
                <wp:inline distB="114300" distT="114300" distL="114300" distR="114300">
                  <wp:extent cx="5624513" cy="2821299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513" cy="28212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619407" cy="753506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407" cy="7535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семинар 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610350" cy="8509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