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2D0" w:rsidRDefault="000318F7">
      <w:pPr>
        <w:jc w:val="center"/>
      </w:pPr>
      <w:r>
        <w:rPr>
          <w:b/>
          <w:sz w:val="24"/>
          <w:szCs w:val="24"/>
        </w:rPr>
        <w:t>Анализ полноты и непротиворечивости</w:t>
      </w:r>
    </w:p>
    <w:p w:rsidR="008112D0" w:rsidRDefault="000318F7">
      <w:r>
        <w:rPr>
          <w:sz w:val="24"/>
          <w:szCs w:val="24"/>
        </w:rPr>
        <w:t xml:space="preserve">Настоящий документ содержит проверку структурированного перечня требований (см. документ «Классификация и формализация требований») на полноту по стейкхолдерам, полноту по сценариям использования, однозначность формулировок и непротиворечивость требований </w:t>
      </w:r>
      <w:r>
        <w:rPr>
          <w:sz w:val="24"/>
          <w:szCs w:val="24"/>
        </w:rPr>
        <w:t>друг другу, а также фиксирует выявленные замечания и способы их устранения.</w:t>
      </w:r>
    </w:p>
    <w:p w:rsidR="008112D0" w:rsidRDefault="000318F7">
      <w:pPr>
        <w:keepNext/>
      </w:pPr>
      <w:r>
        <w:rPr>
          <w:b/>
          <w:sz w:val="24"/>
          <w:szCs w:val="24"/>
        </w:rPr>
        <w:t>1. Проверка полноты по стейкхолдерам</w:t>
      </w:r>
    </w:p>
    <w:p w:rsidR="008112D0" w:rsidRDefault="000318F7">
      <w:r>
        <w:rPr>
          <w:sz w:val="24"/>
          <w:szCs w:val="24"/>
        </w:rPr>
        <w:t>Для каждого стейкхолдера из реестра, приведенного в документе «Первичный анализ», проверено наличие в перечне требований не менее одного требов</w:t>
      </w:r>
      <w:r>
        <w:rPr>
          <w:sz w:val="24"/>
          <w:szCs w:val="24"/>
        </w:rPr>
        <w:t>ания, непосредственно отражающего его ключевую потребность или опасение.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1"/>
        <w:gridCol w:w="2366"/>
        <w:gridCol w:w="2551"/>
        <w:gridCol w:w="1843"/>
      </w:tblGrid>
      <w:tr w:rsidR="008112D0">
        <w:trPr>
          <w:cantSplit/>
          <w:tblHeader/>
        </w:trPr>
        <w:tc>
          <w:tcPr>
            <w:tcW w:w="2591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Стейкхолдер</w:t>
            </w:r>
          </w:p>
        </w:tc>
        <w:tc>
          <w:tcPr>
            <w:tcW w:w="2366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Ключевая потребность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Покрывающие требования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Результат проверки</w:t>
            </w:r>
          </w:p>
        </w:tc>
      </w:tr>
      <w:tr w:rsidR="008112D0">
        <w:trPr>
          <w:cantSplit/>
        </w:trPr>
        <w:tc>
          <w:tcPr>
            <w:tcW w:w="259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StH-01 — Владелец животного (клиент)</w:t>
            </w:r>
          </w:p>
        </w:tc>
        <w:tc>
          <w:tcPr>
            <w:tcW w:w="2366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 xml:space="preserve">Онлайн-запись к врачу, отмена и перенос записи, прайс-лист до записи, </w:t>
            </w:r>
            <w:r>
              <w:rPr>
                <w:sz w:val="20"/>
              </w:rPr>
              <w:t>история визитов и выписка с результатами анализов, напоминания о вакцинации, онлайн-оплата или электронный чек</w:t>
            </w:r>
          </w:p>
        </w:tc>
        <w:tc>
          <w:tcPr>
            <w:tcW w:w="2551" w:type="dxa"/>
            <w:vAlign w:val="center"/>
          </w:tcPr>
          <w:p w:rsidR="008112D0" w:rsidRPr="000318F7" w:rsidRDefault="000318F7">
            <w:pPr>
              <w:spacing w:after="60" w:line="276" w:lineRule="auto"/>
              <w:ind w:firstLine="0"/>
              <w:jc w:val="left"/>
              <w:rPr>
                <w:lang w:val="en-US"/>
              </w:rPr>
            </w:pPr>
            <w:r w:rsidRPr="000318F7">
              <w:rPr>
                <w:sz w:val="20"/>
                <w:lang w:val="en-US"/>
              </w:rPr>
              <w:t>FR-02, FR-03, FR-04, FR-05, FR-06, FR-07, FR-09, FR-14, NFR-02, NFR-04</w:t>
            </w:r>
          </w:p>
        </w:tc>
        <w:tc>
          <w:tcPr>
            <w:tcW w:w="1843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Полнота подтверждена, кроме истории об онлайн-оплате (см. п. 4, замечание №1)</w:t>
            </w:r>
          </w:p>
        </w:tc>
      </w:tr>
      <w:tr w:rsidR="008112D0">
        <w:trPr>
          <w:cantSplit/>
        </w:trPr>
        <w:tc>
          <w:tcPr>
            <w:tcW w:w="259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StH-02 — Ветеринарный врач</w:t>
            </w:r>
          </w:p>
        </w:tc>
        <w:tc>
          <w:tcPr>
            <w:tcW w:w="2366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Открытие карты до приема, фиксация диагноза, назначений и дозировок, контроль остатков препаратов, прикрепление анализов и снимков, дата следующего пр</w:t>
            </w:r>
            <w:r>
              <w:rPr>
                <w:sz w:val="20"/>
              </w:rPr>
              <w:t>иема, расписание на день</w:t>
            </w:r>
          </w:p>
        </w:tc>
        <w:tc>
          <w:tcPr>
            <w:tcW w:w="2551" w:type="dxa"/>
            <w:vAlign w:val="center"/>
          </w:tcPr>
          <w:p w:rsidR="008112D0" w:rsidRPr="000318F7" w:rsidRDefault="000318F7">
            <w:pPr>
              <w:spacing w:after="60" w:line="276" w:lineRule="auto"/>
              <w:ind w:firstLine="0"/>
              <w:jc w:val="left"/>
              <w:rPr>
                <w:lang w:val="en-US"/>
              </w:rPr>
            </w:pPr>
            <w:r w:rsidRPr="000318F7">
              <w:rPr>
                <w:sz w:val="20"/>
                <w:lang w:val="en-US"/>
              </w:rPr>
              <w:t>FR-07, FR-08, FR-10, FR-12, FR-14, FR-16, FR-19, NFR-01, NFR-07</w:t>
            </w:r>
          </w:p>
        </w:tc>
        <w:tc>
          <w:tcPr>
            <w:tcW w:w="1843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Полнота подтверждена</w:t>
            </w:r>
          </w:p>
        </w:tc>
      </w:tr>
      <w:tr w:rsidR="008112D0">
        <w:trPr>
          <w:cantSplit/>
        </w:trPr>
        <w:tc>
          <w:tcPr>
            <w:tcW w:w="259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StH-03 — Администратор клиники</w:t>
            </w:r>
          </w:p>
        </w:tc>
        <w:tc>
          <w:tcPr>
            <w:tcW w:w="2366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 xml:space="preserve">Ручная запись за 60 секунд, единый календарь врачей, регистрация клиента и питомца, уведомление об отмене записи, </w:t>
            </w:r>
            <w:r>
              <w:rPr>
                <w:sz w:val="20"/>
              </w:rPr>
              <w:t>блокировка слота врача, поиск карты по телефону или кличке</w:t>
            </w:r>
          </w:p>
        </w:tc>
        <w:tc>
          <w:tcPr>
            <w:tcW w:w="2551" w:type="dxa"/>
            <w:vAlign w:val="center"/>
          </w:tcPr>
          <w:p w:rsidR="008112D0" w:rsidRPr="000318F7" w:rsidRDefault="000318F7">
            <w:pPr>
              <w:spacing w:after="60" w:line="276" w:lineRule="auto"/>
              <w:ind w:firstLine="0"/>
              <w:jc w:val="left"/>
              <w:rPr>
                <w:lang w:val="en-US"/>
              </w:rPr>
            </w:pPr>
            <w:r w:rsidRPr="000318F7">
              <w:rPr>
                <w:sz w:val="20"/>
                <w:lang w:val="en-US"/>
              </w:rPr>
              <w:t>FR-03, FR-05, FR-08, FR-11, FR-15, FR-17, FR-18, FR-20, NFR-02, NFR-09</w:t>
            </w:r>
          </w:p>
        </w:tc>
        <w:tc>
          <w:tcPr>
            <w:tcW w:w="1843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Полнота подтверждена, кроме уведомления об отмене записи (см. ниже)</w:t>
            </w:r>
          </w:p>
        </w:tc>
      </w:tr>
    </w:tbl>
    <w:p w:rsidR="008112D0" w:rsidRDefault="008112D0">
      <w:pPr>
        <w:rPr>
          <w:sz w:val="24"/>
          <w:szCs w:val="24"/>
        </w:rPr>
      </w:pPr>
    </w:p>
    <w:p w:rsidR="008112D0" w:rsidRDefault="000318F7">
      <w:r>
        <w:rPr>
          <w:sz w:val="24"/>
          <w:szCs w:val="24"/>
        </w:rPr>
        <w:t>По итогам проверки выявлено два пробела. Во-первых, поль</w:t>
      </w:r>
      <w:r>
        <w:rPr>
          <w:sz w:val="24"/>
          <w:szCs w:val="24"/>
        </w:rPr>
        <w:t>зовательская история клиента об онлайн-оплате и электронном чеке не отражена ни в одном требовании: по решению заказчика оплата в системе не предусматривается (см. п. 4, замечание №1). Во-вторых, история администратора «получить уведомление об отмене запис</w:t>
      </w:r>
      <w:r>
        <w:rPr>
          <w:sz w:val="24"/>
          <w:szCs w:val="24"/>
        </w:rPr>
        <w:t xml:space="preserve">и клиентом» упоминается только в критерии верификации FR-05, но не в формулировках FR-05 и FR-14, которые описывают уведомления лишь для владельца животного; рекомендуется </w:t>
      </w:r>
      <w:r>
        <w:rPr>
          <w:sz w:val="24"/>
          <w:szCs w:val="24"/>
        </w:rPr>
        <w:lastRenderedPageBreak/>
        <w:t xml:space="preserve">дополнить формулировку FR-14 уведомлением администратора об отмене записи клиентом. </w:t>
      </w:r>
      <w:r>
        <w:rPr>
          <w:sz w:val="24"/>
          <w:szCs w:val="24"/>
        </w:rPr>
        <w:t>Остальные потребности и опасения каждого стейкхолдера обеспечены минимум тремя требованиями.</w:t>
      </w:r>
    </w:p>
    <w:p w:rsidR="008112D0" w:rsidRDefault="000318F7">
      <w:pPr>
        <w:keepNext/>
      </w:pPr>
      <w:r>
        <w:rPr>
          <w:b/>
          <w:sz w:val="24"/>
          <w:szCs w:val="24"/>
        </w:rPr>
        <w:t>2. Проверка полноты по сценариям использования</w:t>
      </w:r>
    </w:p>
    <w:p w:rsidR="008112D0" w:rsidRDefault="000318F7">
      <w:r>
        <w:rPr>
          <w:sz w:val="24"/>
          <w:szCs w:val="24"/>
        </w:rPr>
        <w:t>Для каждого шага основного потока сценариев UC-1 – UC-4 (см. документ «Сценарии использования системы») проверено на</w:t>
      </w:r>
      <w:r>
        <w:rPr>
          <w:sz w:val="24"/>
          <w:szCs w:val="24"/>
        </w:rPr>
        <w:t>личие соответствующего функционального требования в перечне. Шаги, не имеющие соответствующего требования, являются свидетельством неполноты перечня.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2500"/>
        <w:gridCol w:w="2351"/>
      </w:tblGrid>
      <w:tr w:rsidR="008112D0">
        <w:trPr>
          <w:cantSplit/>
          <w:tblHeader/>
        </w:trPr>
        <w:tc>
          <w:tcPr>
            <w:tcW w:w="1000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Сценарий</w:t>
            </w:r>
          </w:p>
        </w:tc>
        <w:tc>
          <w:tcPr>
            <w:tcW w:w="3500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Проверяемый шаг</w:t>
            </w:r>
          </w:p>
        </w:tc>
        <w:tc>
          <w:tcPr>
            <w:tcW w:w="2500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Соответствующее требование</w:t>
            </w:r>
          </w:p>
        </w:tc>
        <w:tc>
          <w:tcPr>
            <w:tcW w:w="2351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Результат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1 (просмотр прайс-листа и списка врачей, поиск по ФИО)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FR-02, FR-03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Шаги 2–5 (выбор врача, даты и слота, питомца, указание симптомов, подтверждение)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FR-04, FR-06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6 (регистрация записи, уведомление-подтверждение)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FR-04, FR-14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Альтернативный поток 1 (слот занят другим пользователем)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NFR-04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частично (предложение ближайших слотов требованием не описано)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Альтернативный поток 2 (отмена записи)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FR-05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UC-1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Специальные требования (слоты и поиск врача не более 2 секунд)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NFR-01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частично (показатель 2 секунды в перечне отсутствует)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Шаги 1–2 (расписание, открытие медицинской карты)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FR-10, FR-07, FR-08, NFR-01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3 (диагноз, жалобы, назначения)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FR-12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4 (перечень оказанных услуг и израсходованных медикаментов)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FR-12, FR-19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частично (фиксация перечня услуг в FR-12 явно не названа)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5 (автоматический расчет стоимости приема)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</w:t>
            </w:r>
            <w:r>
              <w:rPr>
                <w:sz w:val="20"/>
              </w:rPr>
              <w:t>3, NFR-03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6 (завершение приема, статус «Завершен», история в карте)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FR-13, FR-07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6 (формирование счета на оплату)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Не покрыто (оплата вне системы, см. п. 4, замечание №1)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Альтернативные потоки 1–2 (направление, поиск карты по телефону)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FR-12, FR-08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UC-2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Специальные требования (расчет стоимости и открытие карты не более 5 секунд)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NFR-01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частично (для расчета стоимости показатель отсутствует)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UC-3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Шаги 1–3 (ведение прайс-листа)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FR-03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lastRenderedPageBreak/>
              <w:t>UC-3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Шаги 4–6 (выбор периода, формирование отчетов)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FR-20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UC-3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7 (просмотр и выгрузка отчетов в файл)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FR-20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частично (выгрузка в файл в FR-20 не названа)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UC-3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Альтернативный поток 1 (архивация услуги вместо удаления)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FR-03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Противоречие (см. п. 4, замечание №3)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UC-3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Специальные требования (генерация отчетов не более 5 секунд)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Не покрыто (показатель в перечне отсутствует)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UC-4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Шаги 1–9 (список, поиск, добавлен</w:t>
            </w:r>
            <w:r>
              <w:rPr>
                <w:sz w:val="20"/>
              </w:rPr>
              <w:t>ие, редактирование, удаление сотрудников)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FR-17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UC-4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Шаг 2 (отображение пароля в списке сотрудников)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NFR-08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Противоречие (см. п. 4, замечание №4)</w:t>
            </w:r>
          </w:p>
        </w:tc>
      </w:tr>
      <w:tr w:rsidR="008112D0">
        <w:trPr>
          <w:cantSplit/>
        </w:trPr>
        <w:tc>
          <w:tcPr>
            <w:tcW w:w="10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UC-4</w:t>
            </w:r>
          </w:p>
        </w:tc>
        <w:tc>
          <w:tcPr>
            <w:tcW w:w="3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Специальные требования (изменение роли сотрудника)</w:t>
            </w:r>
          </w:p>
        </w:tc>
        <w:tc>
          <w:tcPr>
            <w:tcW w:w="25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FR-01, NFR-09</w:t>
            </w:r>
          </w:p>
        </w:tc>
        <w:tc>
          <w:tcPr>
            <w:tcW w:w="235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Покрыто (формулировка «немедленно» неоднозначна, см. п. 3)</w:t>
            </w:r>
          </w:p>
        </w:tc>
      </w:tr>
    </w:tbl>
    <w:p w:rsidR="008112D0" w:rsidRDefault="008112D0">
      <w:pPr>
        <w:rPr>
          <w:sz w:val="24"/>
          <w:szCs w:val="24"/>
        </w:rPr>
      </w:pPr>
    </w:p>
    <w:p w:rsidR="008112D0" w:rsidRDefault="000318F7">
      <w:r>
        <w:rPr>
          <w:sz w:val="24"/>
          <w:szCs w:val="24"/>
        </w:rPr>
        <w:t>Замечание: требования FR-12, FR-20, FR-14 и NFR-01 рекомендуется уточнить, чтобы покрыть шаги, отмеченные как частично покрытые: FR-12 – добавить фиксацию перечня оказанных услуг; FR-20 – добавит</w:t>
      </w:r>
      <w:r>
        <w:rPr>
          <w:sz w:val="24"/>
          <w:szCs w:val="24"/>
        </w:rPr>
        <w:t>ь выгрузку отчета в файл; NFR-01 – добавить показатели «не более 2 секунд» для отображения слотов расписания и поиска врача и «не более 5 секунд» для расчета стоимости приема и формирования отчетов. Для альтернативного потока 1 сценария UC-1 следует дополн</w:t>
      </w:r>
      <w:r>
        <w:rPr>
          <w:sz w:val="24"/>
          <w:szCs w:val="24"/>
        </w:rPr>
        <w:t>ить FR-04 предложением ближайших свободных слотов выбранного врача. Остальные шаги основных потоков сценариев обеспечены соответствующими функциональными требованиями.</w:t>
      </w:r>
    </w:p>
    <w:p w:rsidR="008112D0" w:rsidRDefault="000318F7">
      <w:r>
        <w:rPr>
          <w:sz w:val="24"/>
          <w:szCs w:val="24"/>
        </w:rPr>
        <w:t>Обратная проверка показала, что функции FR-09 (личный кабинет), FR-11 (управление распис</w:t>
      </w:r>
      <w:r>
        <w:rPr>
          <w:sz w:val="24"/>
          <w:szCs w:val="24"/>
        </w:rPr>
        <w:t>анием администратором), FR-15 (регистрация клиентов и ручная запись), FR-16 (экстренный прием) и FR-18 (учет медикаментов на складе) не описаны ни в одном из сценариев UC-1 – UC-4. Для них рекомендуется подготовить дополнительные сценарии, в первую очередь</w:t>
      </w:r>
      <w:r>
        <w:rPr>
          <w:sz w:val="24"/>
          <w:szCs w:val="24"/>
        </w:rPr>
        <w:t xml:space="preserve"> для учета медикаментов и составления расписания врачей.</w:t>
      </w:r>
    </w:p>
    <w:p w:rsidR="008112D0" w:rsidRDefault="000318F7">
      <w:pPr>
        <w:keepNext/>
      </w:pPr>
      <w:r>
        <w:rPr>
          <w:b/>
          <w:sz w:val="24"/>
          <w:szCs w:val="24"/>
        </w:rPr>
        <w:t>3. Проверка на однозначность формулировок</w:t>
      </w:r>
    </w:p>
    <w:p w:rsidR="008112D0" w:rsidRDefault="000318F7">
      <w:r>
        <w:rPr>
          <w:sz w:val="24"/>
          <w:szCs w:val="24"/>
        </w:rPr>
        <w:t>Каждое требование перечня проверено на наличие оценочных прилагательных и неопределенных выражений без количественного определения («быстро», «актуальные», «</w:t>
      </w:r>
      <w:r>
        <w:rPr>
          <w:sz w:val="24"/>
          <w:szCs w:val="24"/>
        </w:rPr>
        <w:t>заранее», «вовремя» и т. п.). Ниже приведены исходные формулировки пользовательских историй и рисков из документа «Первичный анализ», содержавшие подобные выражения, и их измеримые эквиваленты, использованные в итоговой редакции перечня требований.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50"/>
        <w:gridCol w:w="3801"/>
      </w:tblGrid>
      <w:tr w:rsidR="008112D0">
        <w:trPr>
          <w:cantSplit/>
          <w:tblHeader/>
        </w:trPr>
        <w:tc>
          <w:tcPr>
            <w:tcW w:w="1800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lastRenderedPageBreak/>
              <w:t>Требова</w:t>
            </w:r>
            <w:r>
              <w:rPr>
                <w:b/>
                <w:bCs/>
                <w:sz w:val="20"/>
              </w:rPr>
              <w:t>ние</w:t>
            </w:r>
          </w:p>
        </w:tc>
        <w:tc>
          <w:tcPr>
            <w:tcW w:w="3750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Неоднозначная формулировка (исходный вариант)</w:t>
            </w:r>
          </w:p>
        </w:tc>
        <w:tc>
          <w:tcPr>
            <w:tcW w:w="3801" w:type="dxa"/>
            <w:shd w:val="clear" w:color="auto" w:fill="auto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Измеримый критерий (итоговая редакция)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FR-04 / NFR-02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«Записаться на приём онлайн, выбрав удобное время, чтобы не звонить в клинику и не ждать на линии»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«...не более чем за 3 шага» (NFR-02)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FR-08 / NFR-01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«Быстро найти карту клиента и его животного по номеру телефона</w:t>
            </w:r>
            <w:bookmarkStart w:id="0" w:name="_GoBack"/>
            <w:bookmarkEnd w:id="0"/>
            <w:r>
              <w:rPr>
                <w:sz w:val="20"/>
              </w:rPr>
              <w:t>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«...для 10 тестовых запросов искомая карта находится» (FR-08); «...карта открывается не более чем за 5 секунд» (NFR-01)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FR-14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«Получить напоминание о предстоящей вакцинации или повторном приёме»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«...за 7 дней и повторно за 1 день до даты процед</w:t>
            </w:r>
            <w:r>
              <w:rPr>
                <w:sz w:val="20"/>
              </w:rPr>
              <w:t>уры; факт отправки фиксируется в журнале событий» (FR-14)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FR-18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«Уведомлять администратора при снижении остатка препарата ниже порогового значения»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«...не позднее чем через 1 час после снижения остатка ниже порога» (FR-18)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NFR-05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«Отказ системы в часы пиковой нагрузки»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«...работа круглосуточно; нагрузочный тест с 20 виртуальными пользователями проходит без отказов» (NFR-05)</w:t>
            </w:r>
          </w:p>
        </w:tc>
      </w:tr>
      <w:tr w:rsidR="008112D0">
        <w:trPr>
          <w:cantSplit/>
        </w:trPr>
        <w:tc>
          <w:tcPr>
            <w:tcW w:w="180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NFR-07</w:t>
            </w:r>
          </w:p>
        </w:tc>
        <w:tc>
          <w:tcPr>
            <w:tcW w:w="3750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«Ошибка идентификации пациента, назначение лечения не тому животному»</w:t>
            </w:r>
          </w:p>
        </w:tc>
        <w:tc>
          <w:tcPr>
            <w:tcW w:w="3801" w:type="dxa"/>
            <w:vAlign w:val="center"/>
          </w:tcPr>
          <w:p w:rsidR="008112D0" w:rsidRDefault="000318F7">
            <w:pPr>
              <w:spacing w:after="60" w:line="276" w:lineRule="auto"/>
              <w:ind w:firstLine="0"/>
              <w:jc w:val="left"/>
            </w:pPr>
            <w:r>
              <w:rPr>
                <w:sz w:val="20"/>
              </w:rPr>
              <w:t>«...при владельце с 3 животными</w:t>
            </w:r>
            <w:r>
              <w:rPr>
                <w:sz w:val="20"/>
              </w:rPr>
              <w:t xml:space="preserve"> назначение невозможно без выбора животного; экран содержит кличку, вид, породу, метки и фото» (NFR-07)</w:t>
            </w:r>
          </w:p>
        </w:tc>
      </w:tr>
    </w:tbl>
    <w:p w:rsidR="008112D0" w:rsidRDefault="008112D0">
      <w:pPr>
        <w:rPr>
          <w:sz w:val="24"/>
          <w:szCs w:val="24"/>
        </w:rPr>
      </w:pPr>
    </w:p>
    <w:p w:rsidR="008112D0" w:rsidRDefault="000318F7">
      <w:r>
        <w:rPr>
          <w:sz w:val="24"/>
          <w:szCs w:val="24"/>
        </w:rPr>
        <w:t>По итогам проверки большинство требований итогового перечня, приведенного в документе «Классификация и формализация требований», содержат измеримые кр</w:t>
      </w:r>
      <w:r>
        <w:rPr>
          <w:sz w:val="24"/>
          <w:szCs w:val="24"/>
        </w:rPr>
        <w:t>итерии верификации. Остаточная неоднозначность выявлена в трех местах. В NFR-05 не определено понятие «часы пиковой нагрузки»: рекомендуется закрепить, что пиковой считается нагрузка в 20 одновременно работающих пользователей (значение из критерия верифика</w:t>
      </w:r>
      <w:r>
        <w:rPr>
          <w:sz w:val="24"/>
          <w:szCs w:val="24"/>
        </w:rPr>
        <w:t>ции этого требования). В NFR-06 не задана периодичность «регулярного» резервного копирования: рекомендуется согласовать ее с заказчиком (например, не реже одного раза в сутки). В сценарии UC-4 требование о том, что изменение роли должно проводиться «немедл</w:t>
      </w:r>
      <w:r>
        <w:rPr>
          <w:sz w:val="24"/>
          <w:szCs w:val="24"/>
        </w:rPr>
        <w:t>енно», рекомендуется заменить измеримым: «изменение роли вступает в силу не позднее следующего обращения пользователя к системе».</w:t>
      </w:r>
    </w:p>
    <w:p w:rsidR="008112D0" w:rsidRDefault="000318F7">
      <w:pPr>
        <w:keepNext/>
      </w:pPr>
      <w:r>
        <w:rPr>
          <w:b/>
          <w:sz w:val="24"/>
          <w:szCs w:val="24"/>
        </w:rPr>
        <w:t>4. Проверка на непротиворечивость</w:t>
      </w:r>
    </w:p>
    <w:p w:rsidR="008112D0" w:rsidRDefault="000318F7">
      <w:r>
        <w:rPr>
          <w:sz w:val="24"/>
          <w:szCs w:val="24"/>
        </w:rPr>
        <w:t>Для пар требований, относящихся к одной функции или характеристике системы, а также для треб</w:t>
      </w:r>
      <w:r>
        <w:rPr>
          <w:sz w:val="24"/>
          <w:szCs w:val="24"/>
        </w:rPr>
        <w:t>ований и соответствующих им сценариев проверена совместимость их одновременного выполнения. Ниже зафиксированы выявленные противоречия и предложены стратегии их разрешения.</w:t>
      </w:r>
    </w:p>
    <w:p w:rsidR="008112D0" w:rsidRDefault="000318F7">
      <w:pPr>
        <w:keepNext/>
      </w:pPr>
      <w:r>
        <w:rPr>
          <w:b/>
          <w:sz w:val="24"/>
          <w:szCs w:val="24"/>
        </w:rPr>
        <w:t>Замечание №1 − расхождение источников и перечня требований по оплате услуг.</w:t>
      </w:r>
    </w:p>
    <w:p w:rsidR="008112D0" w:rsidRDefault="000318F7">
      <w:r>
        <w:rPr>
          <w:sz w:val="24"/>
          <w:szCs w:val="24"/>
        </w:rPr>
        <w:t>В докум</w:t>
      </w:r>
      <w:r>
        <w:rPr>
          <w:sz w:val="24"/>
          <w:szCs w:val="24"/>
        </w:rPr>
        <w:t xml:space="preserve">енте «Первичный анализ» (история клиента об онлайн-оплате, границы системы, первичное требование 1) и в сценарии UC-2 (шаг 6 и постусловие: «формирует </w:t>
      </w:r>
      <w:r>
        <w:rPr>
          <w:sz w:val="24"/>
          <w:szCs w:val="24"/>
        </w:rPr>
        <w:lastRenderedPageBreak/>
        <w:t>счет на оплату») предусмотрены формирование счета и передача данных на кассовый терминал. По решению зака</w:t>
      </w:r>
      <w:r>
        <w:rPr>
          <w:sz w:val="24"/>
          <w:szCs w:val="24"/>
        </w:rPr>
        <w:t>зчика оплата в системе не предусматривается, поэтому в перечне требований оставлен только автоматический расчет стоимости приема (FR-13, NFR-03), а требования о счете, кассовом терминале и онлайн-оплате исключены. Прямого противоречия между самими требован</w:t>
      </w:r>
      <w:r>
        <w:rPr>
          <w:sz w:val="24"/>
          <w:szCs w:val="24"/>
        </w:rPr>
        <w:t>иями нет, но исходные документы не согласованы с перечнем. Стратегия разрешения: считать оплату находящейся вне границ системы; в UC-2 заменить формулировку «формирует счет на оплату» на «фиксирует расчет стоимости приема»; историю об онлайн-оплате и перви</w:t>
      </w:r>
      <w:r>
        <w:rPr>
          <w:sz w:val="24"/>
          <w:szCs w:val="24"/>
        </w:rPr>
        <w:t>чное требование 1 в объем работ не включать. Рекомендуется также добавить в перечень ограничение «Исключение оплаты» (приоритет Won't Have), чтобы при приемке не возникло разночтений.</w:t>
      </w:r>
    </w:p>
    <w:p w:rsidR="008112D0" w:rsidRDefault="000318F7">
      <w:pPr>
        <w:keepNext/>
      </w:pPr>
      <w:r>
        <w:rPr>
          <w:b/>
          <w:sz w:val="24"/>
          <w:szCs w:val="24"/>
        </w:rPr>
        <w:t>Замечание №2 − противоречие между FR-08 и NFR-09.</w:t>
      </w:r>
    </w:p>
    <w:p w:rsidR="008112D0" w:rsidRDefault="000318F7">
      <w:r>
        <w:rPr>
          <w:sz w:val="24"/>
          <w:szCs w:val="24"/>
        </w:rPr>
        <w:t>Требование FR-08 предо</w:t>
      </w:r>
      <w:r>
        <w:rPr>
          <w:sz w:val="24"/>
          <w:szCs w:val="24"/>
        </w:rPr>
        <w:t>ставляет врачу и администратору поиск карты и открытие полной медицинской истории животного, тогда как NFR-09 (по документу «Первичный анализ», раздел «Этические и правовые ограничения») запрещает администратору доступ к медицинским назначениям. Одновремен</w:t>
      </w:r>
      <w:r>
        <w:rPr>
          <w:sz w:val="24"/>
          <w:szCs w:val="24"/>
        </w:rPr>
        <w:t>ное выполнение двух требований невозможно. Стратегия разрешения: в формулировке FR-08 закрепить, что администратору поиск возвращает только идентификационные данные (владелец, питомец, контакты, записи на прием), а полная медицинская история, диагнозы и на</w:t>
      </w:r>
      <w:r>
        <w:rPr>
          <w:sz w:val="24"/>
          <w:szCs w:val="24"/>
        </w:rPr>
        <w:t>значения открываются только врачу.</w:t>
      </w:r>
    </w:p>
    <w:p w:rsidR="008112D0" w:rsidRDefault="000318F7">
      <w:pPr>
        <w:keepNext/>
      </w:pPr>
      <w:r>
        <w:rPr>
          <w:b/>
          <w:sz w:val="24"/>
          <w:szCs w:val="24"/>
        </w:rPr>
        <w:t>Замечание №3 − противоречие между FR-03 и альтернативным потоком 1 сценария UC-3.</w:t>
      </w:r>
    </w:p>
    <w:p w:rsidR="008112D0" w:rsidRDefault="000318F7">
      <w:r>
        <w:rPr>
          <w:sz w:val="24"/>
          <w:szCs w:val="24"/>
        </w:rPr>
        <w:t>FR-03 предоставляет администратору возможность удалять услуги, тогда как сценарий UC-3 предусматривает блокировку физического удаления услуги, по которой есть исторические записи приемов, и замену его архивацией. Без уточнения возможна потеря целостности д</w:t>
      </w:r>
      <w:r>
        <w:rPr>
          <w:sz w:val="24"/>
          <w:szCs w:val="24"/>
        </w:rPr>
        <w:t>анных о стоимости завершенных приемов. Стратегия разрешения: в формулировке FR-03 закрепить, что услуга, по которой есть завершенные приемы, не удаляется, а переводится в архив (скрывается из выбора при записи), а физическое удаление допускается только для</w:t>
      </w:r>
      <w:r>
        <w:rPr>
          <w:sz w:val="24"/>
          <w:szCs w:val="24"/>
        </w:rPr>
        <w:t xml:space="preserve"> услуг без связанных записей.</w:t>
      </w:r>
    </w:p>
    <w:p w:rsidR="008112D0" w:rsidRDefault="000318F7">
      <w:pPr>
        <w:keepNext/>
      </w:pPr>
      <w:r>
        <w:rPr>
          <w:b/>
          <w:sz w:val="24"/>
          <w:szCs w:val="24"/>
        </w:rPr>
        <w:t>Замечание №4 − противоречие между сценарием UC-4 и NFR-08.</w:t>
      </w:r>
    </w:p>
    <w:p w:rsidR="008112D0" w:rsidRDefault="000318F7">
      <w:r>
        <w:rPr>
          <w:sz w:val="24"/>
          <w:szCs w:val="24"/>
        </w:rPr>
        <w:t>В шаге 2 сценария UC-4 администратор просматривает в списке сотрудников пароль, тогда как NFR-08 требует хранения паролей только в виде хэшей, что исключает их отображ</w:t>
      </w:r>
      <w:r>
        <w:rPr>
          <w:sz w:val="24"/>
          <w:szCs w:val="24"/>
        </w:rPr>
        <w:t>ение. Стратегия разрешения: в списке сотрудников вместо пароля отображать логин и статус учетной записи, а для смены пароля предусмотреть его задание или сброс администратором без возможности просмотра прежнего значения; формулировку шага 2 сценария UC-4 и</w:t>
      </w:r>
      <w:r>
        <w:rPr>
          <w:sz w:val="24"/>
          <w:szCs w:val="24"/>
        </w:rPr>
        <w:t>зменить соответствующим образом.</w:t>
      </w:r>
    </w:p>
    <w:p w:rsidR="008112D0" w:rsidRDefault="000318F7">
      <w:pPr>
        <w:keepNext/>
      </w:pPr>
      <w:r>
        <w:rPr>
          <w:b/>
          <w:sz w:val="24"/>
          <w:szCs w:val="24"/>
        </w:rPr>
        <w:lastRenderedPageBreak/>
        <w:t>Замечание №5 − согласованность NFR-02, NFR-01 и FR-04, а также ограничений CON-01, CON-02 и CON-04.</w:t>
      </w:r>
    </w:p>
    <w:p w:rsidR="008112D0" w:rsidRDefault="000318F7">
      <w:r>
        <w:rPr>
          <w:sz w:val="24"/>
          <w:szCs w:val="24"/>
        </w:rPr>
        <w:t>Проверено, что запись на прием по FR-04 (выбор услуги, врача, даты и времени, питомца и симптомов) укладывается в 3 шага по</w:t>
      </w:r>
      <w:r>
        <w:rPr>
          <w:sz w:val="24"/>
          <w:szCs w:val="24"/>
        </w:rPr>
        <w:t xml:space="preserve"> NFR-02: шаг 1 – выбор услуги, врача, даты и времени; шаг 2 – выбор питомца и указание симптомов; шаг 3 – подтверждение. Нагрузочная характеристика NFR-01 и NFR-05 (20 одновременных пользователей) достижима для веб-приложения на СУБД MySQL в рамках огранич</w:t>
      </w:r>
      <w:r>
        <w:rPr>
          <w:sz w:val="24"/>
          <w:szCs w:val="24"/>
        </w:rPr>
        <w:t>ений CON-01 и CON-02 и должна быть подтверждена нагрузочным испытанием. Уведомления по email (FR-14) не противоречат исключению SMS-рассылки (CON-04). Противоречий не выявлено.</w:t>
      </w:r>
    </w:p>
    <w:p w:rsidR="008112D0" w:rsidRDefault="000318F7">
      <w:r>
        <w:rPr>
          <w:sz w:val="24"/>
          <w:szCs w:val="24"/>
        </w:rPr>
        <w:t>По итогам проверки на непротиворечивость выявлено одно прямое противоречие двух</w:t>
      </w:r>
      <w:r>
        <w:rPr>
          <w:sz w:val="24"/>
          <w:szCs w:val="24"/>
        </w:rPr>
        <w:t xml:space="preserve"> требований (№2), два противоречия требований и сценариев (№3, №4) и одно расхождение исходных документов с перечнем требований (№1); случай №5 подтвердил согласованность требований. Предложенные уточнения рекомендуется внести в формулировки FR-03, FR-04, </w:t>
      </w:r>
      <w:r>
        <w:rPr>
          <w:sz w:val="24"/>
          <w:szCs w:val="24"/>
        </w:rPr>
        <w:t>FR-08, FR-12, FR-14, FR-20, NFR-01, NFR-05, NFR-06, в сценарии UC-2 и UC-4 и в перечень ограничений.</w:t>
      </w:r>
    </w:p>
    <w:sectPr w:rsidR="008112D0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830277"/>
    <w:multiLevelType w:val="hybridMultilevel"/>
    <w:tmpl w:val="61A206DA"/>
    <w:lvl w:ilvl="0" w:tplc="12943D08">
      <w:start w:val="1"/>
      <w:numFmt w:val="bullet"/>
      <w:lvlText w:val="●"/>
      <w:lvlJc w:val="left"/>
      <w:pPr>
        <w:ind w:left="720" w:hanging="360"/>
      </w:pPr>
    </w:lvl>
    <w:lvl w:ilvl="1" w:tplc="E1B46420">
      <w:start w:val="1"/>
      <w:numFmt w:val="bullet"/>
      <w:lvlText w:val="○"/>
      <w:lvlJc w:val="left"/>
      <w:pPr>
        <w:ind w:left="1440" w:hanging="360"/>
      </w:pPr>
    </w:lvl>
    <w:lvl w:ilvl="2" w:tplc="9C2E08F0">
      <w:start w:val="1"/>
      <w:numFmt w:val="bullet"/>
      <w:lvlText w:val="■"/>
      <w:lvlJc w:val="left"/>
      <w:pPr>
        <w:ind w:left="2160" w:hanging="360"/>
      </w:pPr>
    </w:lvl>
    <w:lvl w:ilvl="3" w:tplc="43489AAC">
      <w:start w:val="1"/>
      <w:numFmt w:val="bullet"/>
      <w:lvlText w:val="●"/>
      <w:lvlJc w:val="left"/>
      <w:pPr>
        <w:ind w:left="2880" w:hanging="360"/>
      </w:pPr>
    </w:lvl>
    <w:lvl w:ilvl="4" w:tplc="5AE6813C">
      <w:start w:val="1"/>
      <w:numFmt w:val="bullet"/>
      <w:lvlText w:val="○"/>
      <w:lvlJc w:val="left"/>
      <w:pPr>
        <w:ind w:left="3600" w:hanging="360"/>
      </w:pPr>
    </w:lvl>
    <w:lvl w:ilvl="5" w:tplc="43685E3E">
      <w:start w:val="1"/>
      <w:numFmt w:val="bullet"/>
      <w:lvlText w:val="■"/>
      <w:lvlJc w:val="left"/>
      <w:pPr>
        <w:ind w:left="4320" w:hanging="360"/>
      </w:pPr>
    </w:lvl>
    <w:lvl w:ilvl="6" w:tplc="CA826546">
      <w:start w:val="1"/>
      <w:numFmt w:val="bullet"/>
      <w:lvlText w:val="●"/>
      <w:lvlJc w:val="left"/>
      <w:pPr>
        <w:ind w:left="5040" w:hanging="360"/>
      </w:pPr>
    </w:lvl>
    <w:lvl w:ilvl="7" w:tplc="9FD2DFCA">
      <w:start w:val="1"/>
      <w:numFmt w:val="bullet"/>
      <w:lvlText w:val="●"/>
      <w:lvlJc w:val="left"/>
      <w:pPr>
        <w:ind w:left="5760" w:hanging="360"/>
      </w:pPr>
    </w:lvl>
    <w:lvl w:ilvl="8" w:tplc="08A4CB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464"/>
    <w:rsid w:val="000318F7"/>
    <w:rsid w:val="00503CE9"/>
    <w:rsid w:val="008112D0"/>
    <w:rsid w:val="00A60464"/>
    <w:rsid w:val="00E5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A1878"/>
  <w15:docId w15:val="{236D425B-9299-4ADF-899D-FAD21130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3CE9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1871</Words>
  <Characters>10671</Characters>
  <Application>Microsoft Office Word</Application>
  <DocSecurity>0</DocSecurity>
  <Lines>88</Lines>
  <Paragraphs>25</Paragraphs>
  <ScaleCrop>false</ScaleCrop>
  <Company/>
  <LinksUpToDate>false</LinksUpToDate>
  <CharactersWithSpaces>12517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Arkady</cp:lastModifiedBy>
  <cp:revision>5</cp:revision>
  <dcterms:created xsi:type="dcterms:W3CDTF">2026-09-24T07:24:00Z</dcterms:created>
  <dcterms:modified xsi:type="dcterms:W3CDTF">2026-09-30T18:20:00Z</dcterms:modified>
</cp:coreProperties>
</file>