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t>- padding bisa merubah ukuran dari box</w:t>
      </w:r>
    </w:p>
    <w:p>
      <w:pPr>
        <w:numPr>
          <w:ilvl w:val="0"/>
          <w:numId w:val="0"/>
        </w:numPr>
        <w:rPr>
          <w:rFonts w:hint="default"/>
          <w:lang w:val="en-US"/>
        </w:rPr>
      </w:pPr>
      <w:r>
        <w:rPr>
          <w:rFonts w:hint="default"/>
          <w:lang w:val="en-US"/>
        </w:rPr>
        <w:tab/>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t>- border</w:t>
      </w:r>
    </w:p>
    <w:p>
      <w:pPr>
        <w:numPr>
          <w:ilvl w:val="0"/>
          <w:numId w:val="0"/>
        </w:numPr>
      </w:pPr>
      <w:r>
        <w:rPr>
          <w:rFonts w:hint="default"/>
          <w:lang w:val="en-US"/>
        </w:rPr>
        <w:tab/>
        <w:t/>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t/>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t/>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t/>
      </w:r>
      <w:r>
        <w:rPr>
          <w:rFonts w:hint="default"/>
          <w:lang w:val="en-US"/>
        </w:rPr>
        <w:tab/>
        <w:t xml:space="preserve">Output </w:t>
      </w:r>
    </w:p>
    <w:p>
      <w:pPr>
        <w:numPr>
          <w:ilvl w:val="0"/>
          <w:numId w:val="0"/>
        </w:numPr>
      </w:pPr>
      <w:r>
        <w:rPr>
          <w:rFonts w:hint="default"/>
          <w:lang w:val="en-US"/>
        </w:rPr>
        <w:tab/>
        <w:t/>
      </w:r>
      <w:r>
        <w:rPr>
          <w:rFonts w:hint="default"/>
          <w:lang w:val="en-US"/>
        </w:rPr>
        <w:tab/>
        <w:t/>
      </w:r>
      <w:r>
        <w:rPr>
          <w:rFonts w:hint="default"/>
          <w:lang w:val="en-US"/>
        </w:rPr>
        <w:tab/>
      </w:r>
      <w:r>
        <w:drawing>
          <wp:inline distT="0" distB="0" distL="114300" distR="114300">
            <wp:extent cx="1533525" cy="1552575"/>
            <wp:effectExtent l="0" t="0" r="9525" b="952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1533525" cy="1552575"/>
                    </a:xfrm>
                    <a:prstGeom prst="rect">
                      <a:avLst/>
                    </a:prstGeom>
                    <a:noFill/>
                    <a:ln>
                      <a:noFill/>
                    </a:ln>
                  </pic:spPr>
                </pic:pic>
              </a:graphicData>
            </a:graphic>
          </wp:inline>
        </w:drawing>
      </w:r>
      <w:bookmarkStart w:id="0" w:name="_GoBack"/>
      <w:bookmarkEnd w:id="0"/>
    </w:p>
    <w:p>
      <w:pPr>
        <w:numPr>
          <w:ilvl w:val="0"/>
          <w:numId w:val="0"/>
        </w:numPr>
        <w:rPr>
          <w:rFonts w:hint="default"/>
          <w:lang w:val="en-US"/>
        </w:rPr>
      </w:pPr>
    </w:p>
    <w:p>
      <w:pPr>
        <w:numPr>
          <w:ilvl w:val="0"/>
          <w:numId w:val="0"/>
        </w:numPr>
        <w:ind w:left="800" w:leftChars="0" w:firstLine="0" w:firstLineChars="0"/>
        <w:rPr>
          <w:rFonts w:hint="default"/>
          <w:lang w:val="en-US"/>
        </w:rPr>
      </w:pPr>
    </w:p>
    <w:p>
      <w:pPr>
        <w:numPr>
          <w:ilvl w:val="0"/>
          <w:numId w:val="0"/>
        </w:numPr>
        <w:ind w:left="420" w:leftChars="0" w:firstLine="420" w:firstLineChars="0"/>
      </w:pPr>
    </w:p>
    <w:p>
      <w:pPr>
        <w:numPr>
          <w:ilvl w:val="0"/>
          <w:numId w:val="0"/>
        </w:numPr>
        <w:ind w:left="420" w:leftChars="0" w:firstLine="420" w:firstLine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219B3794"/>
    <w:rsid w:val="2330716E"/>
    <w:rsid w:val="235057DD"/>
    <w:rsid w:val="523F002D"/>
    <w:rsid w:val="58D93308"/>
    <w:rsid w:val="58FB7FA6"/>
    <w:rsid w:val="6D2C7E65"/>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2023-08-23T09:42:20Z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