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69"/>
          <w:sz w:val="40"/>
        </w:rPr>
        <w:t>规范审查功能试用报告</w:t>
      </w:r>
    </w:p>
    <w:p>
      <w:pPr>
        <w:jc w:val="center"/>
      </w:pPr>
      <w:r>
        <w:rPr>
          <w:rFonts w:ascii="微软雅黑" w:hAnsi="微软雅黑" w:eastAsia="微软雅黑"/>
          <w:color w:val="4B647A"/>
          <w:sz w:val="21"/>
        </w:rPr>
        <w:t>基于真实数据源、自动化测试和真实纠错任务的核验记录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仓库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E:\project\auto-fanban-pre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核验日期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2026-06-23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分支与 HEAD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 / 6d4bd5aec376f7250c51cf381507c4ceb8be5235；工作区存在未提交修改，包括规范审查相关文件和其他前序维护改动。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输出文件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E:\project\auto-fanban-pre\试用报告.docx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一、核验结论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结论：</w:t>
      </w:r>
      <w:r>
        <w:rPr>
          <w:rFonts w:ascii="微软雅黑" w:hAnsi="微软雅黑" w:eastAsia="微软雅黑"/>
          <w:sz w:val="21"/>
        </w:rPr>
        <w:t>规范审查功能目标总体完成，具备进入试用报告的条件。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依据：</w:t>
      </w:r>
      <w:r>
        <w:rPr>
          <w:rFonts w:ascii="微软雅黑" w:hAnsi="微软雅黑" w:eastAsia="微软雅黑"/>
          <w:sz w:val="21"/>
        </w:rPr>
        <w:t>后端能从 documents_bin\规范库.xlsx 的 DatStdItem 工作表读取标准号、标准名称和版本年限；真实纠错任务产生了规范审查类 finding；前端任务详情页能显示“规范审查”类别、摘要和明细。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限制：</w:t>
      </w:r>
      <w:r>
        <w:rPr>
          <w:rFonts w:ascii="微软雅黑" w:hAnsi="微软雅黑" w:eastAsia="微软雅黑"/>
          <w:sz w:val="21"/>
        </w:rPr>
        <w:t>本次真实 DWG 试用覆盖了标准名称缺失/不对应类问题；标准号年限错误在自动化测试中覆盖，未在本次真实 DWG 中找到自然出现的年限错配样本。</w:t>
      </w:r>
    </w:p>
    <w:p>
      <w:pPr>
        <w:pStyle w:val="Heading1"/>
      </w:pPr>
      <w:r>
        <w:rPr>
          <w:rFonts w:ascii="微软雅黑" w:hAnsi="微软雅黑" w:eastAsia="微软雅黑"/>
        </w:rPr>
        <w:t>二、试用范围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范围项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本次实际执行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数据源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documents_bin\规范库.xlsx，工作表 DatStdItem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真实样例文件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E:\project\auto-fanban-pre\test\李帅反馈\20261DA-JGS01-E-纯净版.dwg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试用入口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现有纠错 API：POST /api/jobs/audit-replace，mode=check；未新增重复入口。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前端核验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 Vite 前端后打开真实任务详情页 /jobs/bea7d683-03f2-4ff2-9255-101af75cd1c1，页面正文可见“规范审查”。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未覆盖项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未通过人工文件选择对话框逐步上传；未使用真实 DWG 自然样本验证标准号年限错配。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三、规范库读取核验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核验点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工作簿存在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是。documents_bin\规范库.xlsx 存在，大小约 143 KB。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工作表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包含 DatProjInfo、DatStdItem、DatUserDict、TemRepWrongContent；实际读取 DatStdItem。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第一行字段包括 Id、CodeStd、NameStd、Version、Prefix、Debug、Department、Major、Status、Comment。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有效条目数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StandardLibraryLoader 实际读取 1722 条有效规范条目。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样例条目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GB 18030-2022 -&gt; 信息技术 中文编码字符集；GB 51058-2014 -&gt; 精神专科医院建筑设计规范。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四、目标功能逐项核验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核验结论</w:t>
            </w:r>
          </w:p>
        </w:tc>
        <w:tc>
          <w:tcPr>
            <w:tcW w:type="dxa" w:w="442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sheet2 中标准号、标准名称、版本/年限字段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 Excel 读取 DatStdItem，1722 条有效条目；后端配置指向 documents_bin\规范库.xlsx。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不使用多文本框拼接，只检测单个完整文本框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StandardReviewEngine 在单个 ScanTextItem.raw_text 内匹配标准号；测试覆盖 GB 51058- 与 2011 分拆后不报年限错配。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判断标准号附近同 y 或接近 y 的标准名称是否对应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算法按同一 y 容差 same_line_y_tolerance=5.0 搜索附近名称；相关单测通过。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发现标准名称和标准号不对应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单测覆盖 name_mismatch；真实任务发现 3 条 name_missing/不对应类规范审查问题。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发现标准号后 4 位年限错误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通过（测试覆盖）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单测覆盖 GB 51058-2011 应为 GB 51058-2014；本次真实样例未自然出现年限错配。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整合进现有纠错功能而非重复入口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功能在 AuditCheckExecutor 中追加 findings；真实试用使用 /api/jobs/audit-replace mode=check。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API 与前端展示可见规范审查问题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 API 返回 finding_groups.category=规范审查；前端详情页文本包含规范审查、摘要和明细。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扫描/.NET bridge 失败不能当零问题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通过（测试覆盖）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test_audit_dotnet_scanner_raises_when_bridge_reports_errors 通过，bridge errors 会抛 RuntimeError。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五、自动化测试结果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测试命令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uv run --project backend pytest backend/tests/unit/test_standard_review.py backend/tests/unit/test_audit_check_executor.py backend/tests/unit/test_audit_check_bridge.py backend/tests/unit/test_module7_api.py::test_audit_check_detail_preserves_standard_review_finding_group backend/tests/unit/test_config.py::TestRuntimeConfig::test_runtime_standard_review_reads_values_from_yaml -q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 passed, 7 warnings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uv run --project backend pytest backend/tests/unit -q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717 passed, 3 skipped, 13 warnings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npm --prefix frontend test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 test files passed, 145 tests passed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npm --prefix frontend run build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tsc -b &amp;&amp; vite build 成功，Vite built in 4.89s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六、真实试用记录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试用存储目录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E:\project\auto-fanban-pre\storage\standard-review-trial-20260623-112354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纠错任务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job_id=bea7d683-03f2-4ff2-9255-101af75cd1c1；batch_id=batch-20260623112500-bd977f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任务耗时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API created_at/finished_at 计算约 13.6 秒（11:25:00.343614 至 11:25:13.910995）。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任务状态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succeeded；project_no 推断为 2026；CAD slot 为 slot-01；AutoCAD 2022。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产物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annotated preview PDF 可下载，HTTP 200，约 2,090,088 bytes；report.xlsx 可下载，HTTP 200，约 6,963 bytes。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前端可见性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任务详情页正文实际包含：规范审查、标准号与标准名称不对应、实际标准号、期望标准号、期望标准名称。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七、真实试用发现的问题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命中文本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摘要</w:t>
            </w:r>
          </w:p>
        </w:tc>
        <w:tc>
          <w:tcPr>
            <w:tcW w:type="dxa" w:w="357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明细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GB 50108-2008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标准号与标准名称不对应：GB 50108-2008 附近为 未识别名称，应为 地下工程防水技术规范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实际标准号：GB 50108-2008；期望标准号：GB 50108-2008；期望标准名称：地下工程防水技术规范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GB 50204-2015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标准号与标准名称不对应：GB 50204-2015 附近为 未识别名称，应为 混凝土结构工程施工质量验收规范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实际标准号：GB 50204-2015；期望标准号：GB 50204-2015；期望标准名称：混凝土结构工程施工质量验收规范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GB 50496-2018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标准号与标准名称不对应：GB 50496-2018 附近为 未识别名称，应为 大体积混凝土施工标准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实际标准号：GB 50496-2018；期望标准号：GB 50496-2018；期望标准名称：大体积混凝土施工标准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八、已知问题与后续建议</w:t>
      </w:r>
    </w:p>
    <w:p>
      <w:pPr>
        <w:spacing w:after="80"/>
        <w:ind w:left="227"/>
      </w:pPr>
      <w:r>
        <w:rPr>
          <w:rFonts w:ascii="微软雅黑" w:hAnsi="微软雅黑" w:eastAsia="微软雅黑"/>
          <w:sz w:val="21"/>
        </w:rPr>
        <w:t>• 本次真实样例只自然触发标准名称缺失/不对应类问题，没有找到真实 DWG 中的年限错配样本；年限错配目前由单元测试证明。</w:t>
      </w:r>
    </w:p>
    <w:p>
      <w:pPr>
        <w:spacing w:after="80"/>
        <w:ind w:left="227"/>
      </w:pPr>
      <w:r>
        <w:rPr>
          <w:rFonts w:ascii="微软雅黑" w:hAnsi="微软雅黑" w:eastAsia="微软雅黑"/>
          <w:sz w:val="21"/>
        </w:rPr>
        <w:t>• 真实试用使用 HTTP API 提交纠错任务，再打开前端详情页验证展示；没有执行人工文件选择对话框逐步上传。</w:t>
      </w:r>
    </w:p>
    <w:p>
      <w:pPr>
        <w:spacing w:after="80"/>
        <w:ind w:left="227"/>
      </w:pPr>
      <w:r>
        <w:rPr>
          <w:rFonts w:ascii="微软雅黑" w:hAnsi="微软雅黑" w:eastAsia="微软雅黑"/>
          <w:sz w:val="21"/>
        </w:rPr>
        <w:t>• 前端控制台有 favicon.ico 404，与规范审查功能无关，但属于可清理的小问题。</w:t>
      </w:r>
    </w:p>
    <w:p>
      <w:pPr>
        <w:spacing w:after="80"/>
        <w:ind w:left="227"/>
      </w:pPr>
      <w:r>
        <w:rPr>
          <w:rFonts w:ascii="微软雅黑" w:hAnsi="微软雅黑" w:eastAsia="微软雅黑"/>
          <w:sz w:val="21"/>
        </w:rPr>
        <w:t>• 真实试用同时出现普通词库命中“工种”，说明规范审查与原纠错结果共存；报告使用 category 区分规范审查。</w:t>
      </w:r>
    </w:p>
    <w:p>
      <w:pPr>
        <w:pStyle w:val="Heading1"/>
      </w:pPr>
      <w:r>
        <w:rPr>
          <w:rFonts w:ascii="微软雅黑" w:hAnsi="微软雅黑" w:eastAsia="微软雅黑"/>
        </w:rPr>
        <w:t>九、最终判断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规范审查功能已达到可试用状态：</w:t>
      </w:r>
      <w:r>
        <w:rPr>
          <w:rFonts w:ascii="微软雅黑" w:hAnsi="微软雅黑" w:eastAsia="微软雅黑"/>
          <w:sz w:val="21"/>
        </w:rPr>
        <w:t>数据源、算法、现有纠错集成、API 输出、前端展示、失败传播均有核验证据。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建议进入小范围试用，同时补充更多真实错配 DWG，尤其是标准年限错误和同 y 名称错配样本，用于扩展回归测试和用户验收。</w:t>
      </w:r>
    </w:p>
    <w:sectPr w:rsidR="00FC693F" w:rsidRPr="0006063C" w:rsidSect="00034616">
      <w:footerReference w:type="default" r:id="rId9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t>规范审查功能试用报告 - 2026-06-23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