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D8675" w14:textId="17AC8752" w:rsidR="00597475" w:rsidRDefault="00E03910">
      <w:pPr>
        <w:pStyle w:val="a3"/>
        <w:snapToGrid w:val="0"/>
        <w:spacing w:before="0" w:beforeAutospacing="0" w:after="0" w:afterAutospacing="0" w:line="360" w:lineRule="auto"/>
        <w:jc w:val="center"/>
        <w:rPr>
          <w:rFonts w:ascii="黑体" w:eastAsia="黑体" w:hAnsi="黑体"/>
          <w:sz w:val="32"/>
          <w:szCs w:val="32"/>
        </w:rPr>
      </w:pPr>
      <w:r>
        <w:rPr>
          <w:rFonts w:ascii="黑体" w:eastAsia="黑体" w:hAnsi="黑体" w:hint="eastAsia"/>
          <w:sz w:val="32"/>
          <w:szCs w:val="32"/>
        </w:rPr>
        <w:t>x</w:t>
      </w:r>
      <w:r w:rsidR="008F51B3">
        <w:rPr>
          <w:rFonts w:ascii="黑体" w:eastAsia="黑体" w:hAnsi="黑体" w:hint="eastAsia"/>
          <w:sz w:val="32"/>
          <w:szCs w:val="32"/>
        </w:rPr>
        <w:t>202</w:t>
      </w:r>
      <w:r w:rsidR="008F51B3">
        <w:rPr>
          <w:rFonts w:ascii="黑体" w:eastAsia="黑体" w:hAnsi="黑体"/>
          <w:sz w:val="32"/>
          <w:szCs w:val="32"/>
        </w:rPr>
        <w:t>6</w:t>
      </w:r>
      <w:r w:rsidR="008F51B3">
        <w:rPr>
          <w:rFonts w:ascii="黑体" w:eastAsia="黑体" w:hAnsi="黑体" w:hint="eastAsia"/>
          <w:sz w:val="32"/>
          <w:szCs w:val="32"/>
        </w:rPr>
        <w:t>年春《数字信号处理》第</w:t>
      </w:r>
      <w:r w:rsidR="008F51B3">
        <w:rPr>
          <w:rFonts w:ascii="黑体" w:eastAsia="黑体" w:hAnsi="黑体"/>
          <w:sz w:val="32"/>
          <w:szCs w:val="32"/>
        </w:rPr>
        <w:t>1</w:t>
      </w:r>
      <w:r w:rsidR="008F51B3">
        <w:rPr>
          <w:rFonts w:ascii="黑体" w:eastAsia="黑体" w:hAnsi="黑体" w:hint="eastAsia"/>
          <w:sz w:val="32"/>
          <w:szCs w:val="32"/>
        </w:rPr>
        <w:t>次作业</w:t>
      </w:r>
    </w:p>
    <w:p w14:paraId="55DC3069" w14:textId="77777777" w:rsidR="00597475" w:rsidRDefault="008F51B3">
      <w:pPr>
        <w:pStyle w:val="a3"/>
        <w:snapToGrid w:val="0"/>
        <w:spacing w:before="0" w:beforeAutospacing="0" w:after="0" w:afterAutospacing="0" w:line="360" w:lineRule="auto"/>
        <w:jc w:val="center"/>
      </w:pPr>
      <w:r>
        <w:rPr>
          <w:rFonts w:hint="eastAsia"/>
        </w:rPr>
        <w:t>（请在下方直接作答，不要删除题干，将电子版作业上传至SPOC平台）</w:t>
      </w:r>
    </w:p>
    <w:p w14:paraId="7B3A1A49" w14:textId="70002069" w:rsidR="00597475" w:rsidRDefault="008F51B3" w:rsidP="00C32549">
      <w:pPr>
        <w:pStyle w:val="a3"/>
        <w:numPr>
          <w:ilvl w:val="0"/>
          <w:numId w:val="1"/>
        </w:numPr>
        <w:snapToGrid w:val="0"/>
        <w:spacing w:beforeLines="50" w:before="156" w:beforeAutospacing="0" w:after="0" w:afterAutospacing="0" w:line="360" w:lineRule="auto"/>
        <w:jc w:val="both"/>
      </w:pPr>
      <w:r>
        <w:t>课后</w:t>
      </w:r>
      <w:r>
        <w:rPr>
          <w:rFonts w:hint="eastAsia"/>
        </w:rPr>
        <w:t>习题</w:t>
      </w:r>
      <w:r>
        <w:t>1.3（含补充要求）：针对通信技术、雷达声呐、自动控制、航空航天、生物医学、基因工程和人工智能等任</w:t>
      </w:r>
      <w:r>
        <w:rPr>
          <w:rFonts w:hint="eastAsia"/>
        </w:rPr>
        <w:t>意</w:t>
      </w:r>
      <w:r>
        <w:t>领域，调研我国在数字信号处理研究与实践方面的科研成果。注意：（1）要针对具体领域论述，不能泛泛而谈；（2）论述内容要结构清晰、内容完整、文字流畅；（3）论述文字达到500字以上，至少含两幅相关图像。</w:t>
      </w:r>
      <w:r>
        <w:rPr>
          <w:rFonts w:hint="eastAsia"/>
        </w:rPr>
        <w:t>注意：严禁使用ChatGPT等工具软件答题。</w:t>
      </w:r>
    </w:p>
    <w:p w14:paraId="7CF8CDE7" w14:textId="7351FB23" w:rsidR="00C32549" w:rsidRPr="00CA15B1" w:rsidRDefault="00CA15B1" w:rsidP="00CA15B1">
      <w:pPr>
        <w:pStyle w:val="a3"/>
        <w:snapToGrid w:val="0"/>
        <w:spacing w:beforeLines="50" w:before="156" w:beforeAutospacing="0" w:after="0" w:afterAutospacing="0" w:line="360" w:lineRule="auto"/>
        <w:jc w:val="center"/>
        <w:rPr>
          <w:b/>
          <w:bCs/>
          <w:color w:val="4472C4" w:themeColor="accent1"/>
          <w:sz w:val="32"/>
          <w:szCs w:val="32"/>
        </w:rPr>
      </w:pPr>
      <w:r w:rsidRPr="00CA15B1">
        <w:rPr>
          <w:rFonts w:hint="eastAsia"/>
          <w:b/>
          <w:bCs/>
          <w:color w:val="4472C4" w:themeColor="accent1"/>
          <w:sz w:val="32"/>
          <w:szCs w:val="32"/>
        </w:rPr>
        <w:t>神经生理信号处理与下一代</w:t>
      </w:r>
      <w:proofErr w:type="gramStart"/>
      <w:r w:rsidRPr="00CA15B1">
        <w:rPr>
          <w:rFonts w:hint="eastAsia"/>
          <w:b/>
          <w:bCs/>
          <w:color w:val="4472C4" w:themeColor="accent1"/>
          <w:sz w:val="32"/>
          <w:szCs w:val="32"/>
        </w:rPr>
        <w:t>脑机接口</w:t>
      </w:r>
      <w:proofErr w:type="gramEnd"/>
      <w:r w:rsidRPr="00CA15B1">
        <w:rPr>
          <w:b/>
          <w:bCs/>
          <w:color w:val="4472C4" w:themeColor="accent1"/>
          <w:sz w:val="32"/>
          <w:szCs w:val="32"/>
        </w:rPr>
        <w:t>技术的破局</w:t>
      </w:r>
    </w:p>
    <w:p w14:paraId="7F0F632B" w14:textId="6248D882" w:rsidR="008F51B3" w:rsidRPr="00CA15B1" w:rsidRDefault="00C32549" w:rsidP="00C32549">
      <w:pPr>
        <w:pStyle w:val="a3"/>
        <w:snapToGrid w:val="0"/>
        <w:spacing w:beforeLines="50" w:before="156" w:beforeAutospacing="0" w:after="0" w:afterAutospacing="0" w:line="360" w:lineRule="auto"/>
        <w:ind w:firstLine="420"/>
        <w:jc w:val="both"/>
        <w:rPr>
          <w:color w:val="4472C4" w:themeColor="accent1"/>
        </w:rPr>
      </w:pPr>
      <w:r w:rsidRPr="00CA15B1">
        <w:rPr>
          <w:rFonts w:hint="eastAsia"/>
          <w:color w:val="4472C4" w:themeColor="accent1"/>
        </w:rPr>
        <w:t>在生物医学工程与人工智能</w:t>
      </w:r>
      <w:r w:rsidRPr="00CA15B1">
        <w:rPr>
          <w:color w:val="4472C4" w:themeColor="accent1"/>
        </w:rPr>
        <w:t>深度融合的当下，</w:t>
      </w:r>
      <w:proofErr w:type="gramStart"/>
      <w:r w:rsidRPr="00CA15B1">
        <w:rPr>
          <w:color w:val="4472C4" w:themeColor="accent1"/>
        </w:rPr>
        <w:t>脑机接口</w:t>
      </w:r>
      <w:proofErr w:type="gramEnd"/>
      <w:r w:rsidRPr="00CA15B1">
        <w:rPr>
          <w:color w:val="4472C4" w:themeColor="accent1"/>
        </w:rPr>
        <w:t>技术成为了全球科技前沿。脑电信号极其微弱且伴随大量噪声，因此，数字信号处理技术在</w:t>
      </w:r>
      <w:proofErr w:type="gramStart"/>
      <w:r w:rsidRPr="00CA15B1">
        <w:rPr>
          <w:color w:val="4472C4" w:themeColor="accent1"/>
        </w:rPr>
        <w:t>脑机接口</w:t>
      </w:r>
      <w:proofErr w:type="gramEnd"/>
      <w:r w:rsidRPr="00CA15B1">
        <w:rPr>
          <w:color w:val="4472C4" w:themeColor="accent1"/>
        </w:rPr>
        <w:t>系统中</w:t>
      </w:r>
      <w:r w:rsidRPr="00CA15B1">
        <w:rPr>
          <w:rFonts w:hint="eastAsia"/>
          <w:color w:val="4472C4" w:themeColor="accent1"/>
        </w:rPr>
        <w:t>有</w:t>
      </w:r>
      <w:r w:rsidRPr="00CA15B1">
        <w:rPr>
          <w:color w:val="4472C4" w:themeColor="accent1"/>
        </w:rPr>
        <w:t>着</w:t>
      </w:r>
      <w:r w:rsidRPr="00CA15B1">
        <w:rPr>
          <w:rFonts w:hint="eastAsia"/>
          <w:color w:val="4472C4" w:themeColor="accent1"/>
        </w:rPr>
        <w:t>重要的作用</w:t>
      </w:r>
      <w:r w:rsidRPr="00CA15B1">
        <w:rPr>
          <w:color w:val="4472C4" w:themeColor="accent1"/>
        </w:rPr>
        <w:t>。它负责将混合在头皮脑电中的微弱神经信息提取出来，并利用AI算法进行模式识别。</w:t>
      </w:r>
      <w:r w:rsidR="00CA15B1" w:rsidRPr="00CA15B1">
        <w:rPr>
          <w:rFonts w:hint="eastAsia"/>
          <w:color w:val="4472C4" w:themeColor="accent1"/>
        </w:rPr>
        <w:t>下面简单论述一下</w:t>
      </w:r>
      <w:r w:rsidRPr="00CA15B1">
        <w:rPr>
          <w:color w:val="4472C4" w:themeColor="accent1"/>
        </w:rPr>
        <w:t>近年来中国在</w:t>
      </w:r>
      <w:proofErr w:type="gramStart"/>
      <w:r w:rsidRPr="00CA15B1">
        <w:rPr>
          <w:color w:val="4472C4" w:themeColor="accent1"/>
        </w:rPr>
        <w:t>脑机接口</w:t>
      </w:r>
      <w:proofErr w:type="gramEnd"/>
      <w:r w:rsidRPr="00CA15B1">
        <w:rPr>
          <w:color w:val="4472C4" w:themeColor="accent1"/>
        </w:rPr>
        <w:t>的</w:t>
      </w:r>
      <w:r w:rsidRPr="00CA15B1">
        <w:rPr>
          <w:rFonts w:hint="eastAsia"/>
          <w:color w:val="4472C4" w:themeColor="accent1"/>
        </w:rPr>
        <w:t>数字信号处理方面取得</w:t>
      </w:r>
      <w:r w:rsidR="00CA15B1" w:rsidRPr="00CA15B1">
        <w:rPr>
          <w:rFonts w:hint="eastAsia"/>
          <w:color w:val="4472C4" w:themeColor="accent1"/>
        </w:rPr>
        <w:t>的</w:t>
      </w:r>
      <w:r w:rsidRPr="00CA15B1">
        <w:rPr>
          <w:rFonts w:hint="eastAsia"/>
          <w:color w:val="4472C4" w:themeColor="accent1"/>
        </w:rPr>
        <w:t>突破。</w:t>
      </w:r>
    </w:p>
    <w:p w14:paraId="2890B063" w14:textId="77777777" w:rsidR="00CA15B1" w:rsidRDefault="00CA15B1" w:rsidP="00C32549">
      <w:pPr>
        <w:pStyle w:val="a3"/>
        <w:snapToGrid w:val="0"/>
        <w:spacing w:beforeLines="50" w:before="156" w:beforeAutospacing="0" w:after="0" w:afterAutospacing="0" w:line="360" w:lineRule="auto"/>
        <w:ind w:firstLine="420"/>
        <w:jc w:val="both"/>
        <w:rPr>
          <w:color w:val="4472C4" w:themeColor="accent1"/>
        </w:rPr>
      </w:pPr>
      <w:r w:rsidRPr="00CA15B1">
        <w:rPr>
          <w:rFonts w:hint="eastAsia"/>
          <w:color w:val="4472C4" w:themeColor="accent1"/>
        </w:rPr>
        <w:t>在信号采集的前端，清华大学医学院洪波教授团队联合宣武医院与天坛医院等顶尖临床神经外科机构，成功研发并推进了名为“</w:t>
      </w:r>
      <w:r w:rsidRPr="00CA15B1">
        <w:rPr>
          <w:color w:val="4472C4" w:themeColor="accent1"/>
        </w:rPr>
        <w:t>NEO（Neural Electronic Opportunity，神经电子通道）”的无线微创植入</w:t>
      </w:r>
      <w:proofErr w:type="gramStart"/>
      <w:r w:rsidRPr="00CA15B1">
        <w:rPr>
          <w:color w:val="4472C4" w:themeColor="accent1"/>
        </w:rPr>
        <w:t>脑机接口</w:t>
      </w:r>
      <w:proofErr w:type="gramEnd"/>
      <w:r w:rsidRPr="00CA15B1">
        <w:rPr>
          <w:color w:val="4472C4" w:themeColor="accent1"/>
        </w:rPr>
        <w:t>系统 。该系统在神经信号采集与底层硬件架构上展现了独特的创新思维，并在2025年被国际顶级学术期刊《Nature》评选为年度值得关注的重大科学进展之一 。从数字信号处理的物理链路来看，NEO系统摒弃了直接刺入大脑皮层运动区的硅基或柔性微电极阵列方案，而是创新性地将两枚仅硬币大小的微型处理器植入</w:t>
      </w:r>
      <w:r w:rsidRPr="00CA15B1">
        <w:rPr>
          <w:rFonts w:hint="eastAsia"/>
          <w:color w:val="4472C4" w:themeColor="accent1"/>
        </w:rPr>
        <w:t>患者的颅骨内部，同时将高密度的信号采集电极网格平铺于硬脑膜外</w:t>
      </w:r>
      <w:r w:rsidRPr="00CA15B1">
        <w:rPr>
          <w:color w:val="4472C4" w:themeColor="accent1"/>
        </w:rPr>
        <w:t>。硬脑膜位于坚硬的颅骨与脆弱的大脑皮层之间，不仅起到了保护底层神经元细胞免受机械损伤的作用，更关键的是，将电极置于此位置完美地避开了颅骨这一天然的“高频信号阻尼器”。因此，NEO系统采集到的皮层脑电信号具有远优于传统头皮脑电的宽带频域特征与空间分辨率，同时又彻底避免了破坏血脑屏障和引发神经胶质细胞增生所带来的信号长期不稳定性问题 。在系统能耗与数据传输架构层面，传统的植入式医疗器械往往面临内置</w:t>
      </w:r>
      <w:r w:rsidRPr="00CA15B1">
        <w:rPr>
          <w:rFonts w:hint="eastAsia"/>
          <w:color w:val="4472C4" w:themeColor="accent1"/>
        </w:rPr>
        <w:t>电池寿命耗尽后需要二次开颅手术更换的巨大风险。</w:t>
      </w:r>
      <w:r w:rsidRPr="00CA15B1">
        <w:rPr>
          <w:color w:val="4472C4" w:themeColor="accent1"/>
        </w:rPr>
        <w:t>NEO系统在硬件设计上彻底去除了体内电池组件，转而采用近场无线供电与信号传输技术（</w:t>
      </w:r>
      <w:r w:rsidRPr="00CA15B1">
        <w:rPr>
          <w:rFonts w:hint="eastAsia"/>
          <w:color w:val="4472C4" w:themeColor="accent1"/>
        </w:rPr>
        <w:t>也就是常说的</w:t>
      </w:r>
      <w:r w:rsidRPr="00CA15B1">
        <w:rPr>
          <w:color w:val="4472C4" w:themeColor="accent1"/>
        </w:rPr>
        <w:t>NFC） 。患者在居家康复场景中使用时，体外穿戴式主机隔着头皮向颅骨内的植入体发送射频能量进行供电，并实时、无损地接收从脑内传出的高频神经采样信号。这些原始的电压时间序列数据随后被传输至外部的高性能计算设备（如专用的便携式计算单元或智能手机）中，借助后端的深</w:t>
      </w:r>
      <w:r w:rsidRPr="00CA15B1">
        <w:rPr>
          <w:color w:val="4472C4" w:themeColor="accent1"/>
        </w:rPr>
        <w:lastRenderedPageBreak/>
        <w:t>度强化学习与解码算法，将感觉运动脑区（Sensorimotor cortex）的杂乱信号转化为精确的机器控制指令。严格的临床</w:t>
      </w:r>
      <w:r w:rsidRPr="00CA15B1">
        <w:rPr>
          <w:rFonts w:hint="eastAsia"/>
          <w:color w:val="4472C4" w:themeColor="accent1"/>
        </w:rPr>
        <w:t>试验数据显示，首例因车祸导致颈椎处脊髓完全性损伤（</w:t>
      </w:r>
      <w:r w:rsidRPr="00CA15B1">
        <w:rPr>
          <w:color w:val="4472C4" w:themeColor="accent1"/>
        </w:rPr>
        <w:t>ASIA评分A级，四肢瘫痪长达14年）的高位截瘫患者，在接受NEO系统植入并经过三个月的居家信号闭环适应与康复训练后，成功实现了通过纯粹的脑电活动驱动外部气动机械手套。患者不仅恢复了自主喝水</w:t>
      </w:r>
      <w:proofErr w:type="gramStart"/>
      <w:r w:rsidRPr="00CA15B1">
        <w:rPr>
          <w:color w:val="4472C4" w:themeColor="accent1"/>
        </w:rPr>
        <w:t>等脑控功能</w:t>
      </w:r>
      <w:proofErr w:type="gramEnd"/>
      <w:r w:rsidRPr="00CA15B1">
        <w:rPr>
          <w:color w:val="4472C4" w:themeColor="accent1"/>
        </w:rPr>
        <w:t>，其抓握动作的解码准确率更是稳定超过了90%，并且在临床脊髓损伤评分与感觉诱发电位响应上均展现出显著的神经重塑性改善。</w:t>
      </w:r>
    </w:p>
    <w:tbl>
      <w:tblPr>
        <w:tblStyle w:val="a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50"/>
        <w:gridCol w:w="4896"/>
      </w:tblGrid>
      <w:tr w:rsidR="006857C8" w14:paraId="652D15AE" w14:textId="77777777" w:rsidTr="006857C8">
        <w:tc>
          <w:tcPr>
            <w:tcW w:w="4868" w:type="dxa"/>
          </w:tcPr>
          <w:p w14:paraId="57348973" w14:textId="015CDF37" w:rsidR="006857C8" w:rsidRDefault="006857C8" w:rsidP="006857C8">
            <w:pPr>
              <w:pStyle w:val="a3"/>
              <w:snapToGrid w:val="0"/>
              <w:spacing w:beforeLines="50" w:before="156" w:beforeAutospacing="0" w:after="0" w:afterAutospacing="0" w:line="360" w:lineRule="auto"/>
              <w:jc w:val="both"/>
              <w:rPr>
                <w:rFonts w:hint="eastAsia"/>
                <w:color w:val="4472C4" w:themeColor="accent1"/>
              </w:rPr>
            </w:pPr>
            <w:r w:rsidRPr="006857C8">
              <w:rPr>
                <w:color w:val="4472C4" w:themeColor="accent1"/>
              </w:rPr>
              <w:drawing>
                <wp:inline distT="0" distB="0" distL="0" distR="0" wp14:anchorId="62EBE518" wp14:editId="0EC0B8B1">
                  <wp:extent cx="2853224" cy="2051050"/>
                  <wp:effectExtent l="0" t="0" r="4445" b="6350"/>
                  <wp:docPr id="182993497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934978" name=""/>
                          <pic:cNvPicPr/>
                        </pic:nvPicPr>
                        <pic:blipFill>
                          <a:blip r:embed="rId7"/>
                          <a:stretch>
                            <a:fillRect/>
                          </a:stretch>
                        </pic:blipFill>
                        <pic:spPr>
                          <a:xfrm>
                            <a:off x="0" y="0"/>
                            <a:ext cx="2865157" cy="2059628"/>
                          </a:xfrm>
                          <a:prstGeom prst="rect">
                            <a:avLst/>
                          </a:prstGeom>
                        </pic:spPr>
                      </pic:pic>
                    </a:graphicData>
                  </a:graphic>
                </wp:inline>
              </w:drawing>
            </w:r>
          </w:p>
        </w:tc>
        <w:tc>
          <w:tcPr>
            <w:tcW w:w="4868" w:type="dxa"/>
          </w:tcPr>
          <w:p w14:paraId="1589DE97" w14:textId="45E50B3F" w:rsidR="006857C8" w:rsidRDefault="006857C8" w:rsidP="006857C8">
            <w:pPr>
              <w:pStyle w:val="a3"/>
              <w:snapToGrid w:val="0"/>
              <w:spacing w:beforeLines="50" w:before="156" w:beforeAutospacing="0" w:after="0" w:afterAutospacing="0" w:line="360" w:lineRule="auto"/>
              <w:jc w:val="both"/>
              <w:rPr>
                <w:rFonts w:hint="eastAsia"/>
                <w:color w:val="4472C4" w:themeColor="accent1"/>
              </w:rPr>
            </w:pPr>
            <w:r w:rsidRPr="006857C8">
              <w:rPr>
                <w:color w:val="4472C4" w:themeColor="accent1"/>
              </w:rPr>
              <w:drawing>
                <wp:inline distT="0" distB="0" distL="0" distR="0" wp14:anchorId="7EED5CD4" wp14:editId="2C638010">
                  <wp:extent cx="2962956" cy="2012950"/>
                  <wp:effectExtent l="0" t="0" r="8890" b="6350"/>
                  <wp:docPr id="139368858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688586" name=""/>
                          <pic:cNvPicPr/>
                        </pic:nvPicPr>
                        <pic:blipFill>
                          <a:blip r:embed="rId8"/>
                          <a:stretch>
                            <a:fillRect/>
                          </a:stretch>
                        </pic:blipFill>
                        <pic:spPr>
                          <a:xfrm>
                            <a:off x="0" y="0"/>
                            <a:ext cx="2970152" cy="2017839"/>
                          </a:xfrm>
                          <a:prstGeom prst="rect">
                            <a:avLst/>
                          </a:prstGeom>
                        </pic:spPr>
                      </pic:pic>
                    </a:graphicData>
                  </a:graphic>
                </wp:inline>
              </w:drawing>
            </w:r>
          </w:p>
        </w:tc>
      </w:tr>
    </w:tbl>
    <w:p w14:paraId="0E488DEA" w14:textId="1A6278E1" w:rsidR="00CA15B1" w:rsidRDefault="00CA15B1" w:rsidP="006857C8">
      <w:pPr>
        <w:pStyle w:val="a3"/>
        <w:snapToGrid w:val="0"/>
        <w:spacing w:beforeLines="50" w:before="156" w:beforeAutospacing="0" w:after="0" w:afterAutospacing="0" w:line="360" w:lineRule="auto"/>
        <w:ind w:firstLine="420"/>
        <w:jc w:val="both"/>
        <w:rPr>
          <w:color w:val="4472C4" w:themeColor="accent1"/>
        </w:rPr>
      </w:pPr>
      <w:r w:rsidRPr="00CA15B1">
        <w:rPr>
          <w:color w:val="4472C4" w:themeColor="accent1"/>
        </w:rPr>
        <w:t>随着多通道脑电数据规模的爆发式增长以及计算</w:t>
      </w:r>
      <w:proofErr w:type="gramStart"/>
      <w:r w:rsidRPr="00CA15B1">
        <w:rPr>
          <w:color w:val="4472C4" w:themeColor="accent1"/>
        </w:rPr>
        <w:t>平台算力的</w:t>
      </w:r>
      <w:proofErr w:type="gramEnd"/>
      <w:r w:rsidRPr="00CA15B1">
        <w:rPr>
          <w:color w:val="4472C4" w:themeColor="accent1"/>
        </w:rPr>
        <w:t>提升，神经信号的后端解析算法正在</w:t>
      </w:r>
      <w:r w:rsidRPr="00CA15B1">
        <w:rPr>
          <w:rFonts w:hint="eastAsia"/>
          <w:color w:val="4472C4" w:themeColor="accent1"/>
        </w:rPr>
        <w:t>开始从传统机器学习向深度神经网络（</w:t>
      </w:r>
      <w:r w:rsidRPr="00CA15B1">
        <w:rPr>
          <w:color w:val="4472C4" w:themeColor="accent1"/>
        </w:rPr>
        <w:t>DNN）的全面迁移。</w:t>
      </w:r>
      <w:r>
        <w:rPr>
          <w:rFonts w:hint="eastAsia"/>
          <w:color w:val="4472C4" w:themeColor="accent1"/>
        </w:rPr>
        <w:t>众所周知</w:t>
      </w:r>
      <w:r w:rsidRPr="00CA15B1">
        <w:rPr>
          <w:color w:val="4472C4" w:themeColor="accent1"/>
        </w:rPr>
        <w:t>，脑电信号具有高度的非平稳性、跨期变异性和显著的跨受试者差异性，线性模型在处理这些高度复杂的非线性时序分布时往往力不从心。最新的中国前沿研究系统性地将基于大语言模型的序列建模思想、复杂的卷积神经网络以及原本用于三维计算机视觉的架构引入到</w:t>
      </w:r>
      <w:proofErr w:type="gramStart"/>
      <w:r w:rsidRPr="00CA15B1">
        <w:rPr>
          <w:color w:val="4472C4" w:themeColor="accent1"/>
        </w:rPr>
        <w:t>脑机接口</w:t>
      </w:r>
      <w:proofErr w:type="gramEnd"/>
      <w:r w:rsidRPr="00CA15B1">
        <w:rPr>
          <w:color w:val="4472C4" w:themeColor="accent1"/>
        </w:rPr>
        <w:t>的连续解码任务中。例如，在面向高自由度复杂二维空间控制任务的研究中，传统分类器根本无法输出平滑的连续坐标轨迹。国内研究人员抛弃了陈旧的回归模型，转而提出了一种专门针对多通道脑电时空数据拓扑结构设计的</w:t>
      </w:r>
      <w:proofErr w:type="spellStart"/>
      <w:r w:rsidRPr="00CA15B1">
        <w:rPr>
          <w:color w:val="4472C4" w:themeColor="accent1"/>
        </w:rPr>
        <w:t>PointNet</w:t>
      </w:r>
      <w:proofErr w:type="spellEnd"/>
      <w:r w:rsidRPr="00CA15B1">
        <w:rPr>
          <w:color w:val="4472C4" w:themeColor="accent1"/>
        </w:rPr>
        <w:t>架构的自适</w:t>
      </w:r>
      <w:r w:rsidRPr="00CA15B1">
        <w:rPr>
          <w:rFonts w:hint="eastAsia"/>
          <w:color w:val="4472C4" w:themeColor="accent1"/>
        </w:rPr>
        <w:t>应变体</w:t>
      </w:r>
      <w:r w:rsidRPr="00CA15B1">
        <w:rPr>
          <w:color w:val="4472C4" w:themeColor="accent1"/>
        </w:rPr>
        <w:t xml:space="preserve"> 。</w:t>
      </w:r>
      <w:proofErr w:type="spellStart"/>
      <w:r w:rsidRPr="00CA15B1">
        <w:rPr>
          <w:color w:val="4472C4" w:themeColor="accent1"/>
        </w:rPr>
        <w:t>PointNet</w:t>
      </w:r>
      <w:proofErr w:type="spellEnd"/>
      <w:r w:rsidRPr="00CA15B1">
        <w:rPr>
          <w:color w:val="4472C4" w:themeColor="accent1"/>
        </w:rPr>
        <w:t>原本被广泛用于三维激光雷达点云的处理，研究者敏锐地发现，大脑头皮或皮层电极的空间物理分布特性与点</w:t>
      </w:r>
      <w:proofErr w:type="gramStart"/>
      <w:r w:rsidRPr="00CA15B1">
        <w:rPr>
          <w:color w:val="4472C4" w:themeColor="accent1"/>
        </w:rPr>
        <w:t>云结构</w:t>
      </w:r>
      <w:proofErr w:type="gramEnd"/>
      <w:r w:rsidRPr="00CA15B1">
        <w:rPr>
          <w:color w:val="4472C4" w:themeColor="accent1"/>
        </w:rPr>
        <w:t>具有数学上的同态性。这种端到端的深度学习模型能够直接摄入多通道原始电压时间序列，并在</w:t>
      </w:r>
      <w:proofErr w:type="gramStart"/>
      <w:r w:rsidRPr="00CA15B1">
        <w:rPr>
          <w:color w:val="4472C4" w:themeColor="accent1"/>
        </w:rPr>
        <w:t>隐空间</w:t>
      </w:r>
      <w:proofErr w:type="gramEnd"/>
      <w:r w:rsidRPr="00CA15B1">
        <w:rPr>
          <w:color w:val="4472C4" w:themeColor="accent1"/>
        </w:rPr>
        <w:t>中动态捕捉电极之间隐藏的非线性空间与时间相关性。通过严密的28名人类受试者在线连续追踪实验，结果表明：随着在线闭环训练数据的不断积累，深度学习模型能够自适应地捕获用户的神经表征漂移，其在平滑追踪等高自由度信号解析任务中的均方误差显著低于传统的卡尔曼滤波及</w:t>
      </w:r>
      <w:r w:rsidRPr="00CA15B1">
        <w:rPr>
          <w:rFonts w:hint="eastAsia"/>
          <w:color w:val="4472C4" w:themeColor="accent1"/>
        </w:rPr>
        <w:t>线性解码器，极大地拓宽了非侵入式</w:t>
      </w:r>
      <w:r w:rsidRPr="00CA15B1">
        <w:rPr>
          <w:color w:val="4472C4" w:themeColor="accent1"/>
        </w:rPr>
        <w:t>BCI在精细运动控制领域的应用边界。</w:t>
      </w:r>
    </w:p>
    <w:p w14:paraId="7E0EB05C" w14:textId="7EEE4AAF" w:rsidR="006857C8" w:rsidRPr="00CA15B1" w:rsidRDefault="006857C8" w:rsidP="006857C8">
      <w:pPr>
        <w:pStyle w:val="a3"/>
        <w:snapToGrid w:val="0"/>
        <w:spacing w:beforeLines="50" w:before="156" w:beforeAutospacing="0" w:after="0" w:afterAutospacing="0" w:line="360" w:lineRule="auto"/>
        <w:jc w:val="center"/>
        <w:rPr>
          <w:rFonts w:hint="eastAsia"/>
          <w:color w:val="4472C4" w:themeColor="accent1"/>
        </w:rPr>
      </w:pPr>
      <w:r w:rsidRPr="006857C8">
        <w:rPr>
          <w:color w:val="4472C4" w:themeColor="accent1"/>
        </w:rPr>
        <w:lastRenderedPageBreak/>
        <w:drawing>
          <wp:inline distT="0" distB="0" distL="0" distR="0" wp14:anchorId="16B406B9" wp14:editId="1B66A1DA">
            <wp:extent cx="4949375" cy="3550285"/>
            <wp:effectExtent l="0" t="0" r="3810" b="0"/>
            <wp:docPr id="9972989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298951" name=""/>
                    <pic:cNvPicPr/>
                  </pic:nvPicPr>
                  <pic:blipFill>
                    <a:blip r:embed="rId9"/>
                    <a:stretch>
                      <a:fillRect/>
                    </a:stretch>
                  </pic:blipFill>
                  <pic:spPr>
                    <a:xfrm>
                      <a:off x="0" y="0"/>
                      <a:ext cx="4953793" cy="3553454"/>
                    </a:xfrm>
                    <a:prstGeom prst="rect">
                      <a:avLst/>
                    </a:prstGeom>
                  </pic:spPr>
                </pic:pic>
              </a:graphicData>
            </a:graphic>
          </wp:inline>
        </w:drawing>
      </w:r>
    </w:p>
    <w:p w14:paraId="5FDF0F63" w14:textId="10790056" w:rsidR="00CA15B1" w:rsidRPr="00CA15B1" w:rsidRDefault="00CA15B1" w:rsidP="00C32549">
      <w:pPr>
        <w:pStyle w:val="a3"/>
        <w:snapToGrid w:val="0"/>
        <w:spacing w:beforeLines="50" w:before="156" w:beforeAutospacing="0" w:after="0" w:afterAutospacing="0" w:line="360" w:lineRule="auto"/>
        <w:ind w:firstLine="420"/>
        <w:jc w:val="both"/>
        <w:rPr>
          <w:color w:val="4472C4" w:themeColor="accent1"/>
        </w:rPr>
      </w:pPr>
      <w:r w:rsidRPr="00CA15B1">
        <w:rPr>
          <w:color w:val="4472C4" w:themeColor="accent1"/>
        </w:rPr>
        <w:t>此外，在自发性心理认知范式下的“语音意象”解码方面，国内学界也取得了突破性进展。语音意象是指人类在脑海中默念或构思特定的词汇，但不驱动声带发声及面部肌肉运动的纯粹神经认知过程 。由于缺乏外在的肌肉运动学标签作为监督信号，其解码难度极高。研究人员通过深入剖析脑区间的动态连通性网络机制，利用长短期记忆网络（LSTM）等循环序列模型对神经信号在时间轴上的复杂演变进行高维特征建模 。该技术不仅成功解析了受试者在构思</w:t>
      </w:r>
      <w:r w:rsidRPr="00CA15B1">
        <w:rPr>
          <w:rFonts w:hint="eastAsia"/>
          <w:color w:val="4472C4" w:themeColor="accent1"/>
        </w:rPr>
        <w:t>元音与辅音组合时的基础神经表征，更实现了针对复杂的中文汉字、词语乃至长句序列的脑电模式分类</w:t>
      </w:r>
      <w:r w:rsidRPr="00CA15B1">
        <w:rPr>
          <w:color w:val="4472C4" w:themeColor="accent1"/>
        </w:rPr>
        <w:t xml:space="preserve"> 。最新的一项标志性研究进一步引入了大型</w:t>
      </w:r>
      <w:proofErr w:type="gramStart"/>
      <w:r w:rsidRPr="00CA15B1">
        <w:rPr>
          <w:color w:val="4472C4" w:themeColor="accent1"/>
        </w:rPr>
        <w:t>预训练</w:t>
      </w:r>
      <w:proofErr w:type="gramEnd"/>
      <w:r w:rsidRPr="00CA15B1">
        <w:rPr>
          <w:color w:val="4472C4" w:themeColor="accent1"/>
        </w:rPr>
        <w:t>语言模型（LLMs）的语义先验知识，使得语音意象解码器不再孤立地依靠神经电信号进行分类，而是结合上下文语义概率网络进行联合解码。这种将神经信号处理与自然语言处理（NLP）深度耦合的范式，显著提升了脑电翻译的准确性与系统适应性，为因肌萎缩侧索硬化症（ALS）等疾病丧失发音能力的失语症患者铺平了重获智能沟通能力的道路 。</w:t>
      </w:r>
    </w:p>
    <w:p w14:paraId="01EFD715" w14:textId="2FE13ADF" w:rsidR="00CA15B1" w:rsidRDefault="0063440D" w:rsidP="0063440D">
      <w:pPr>
        <w:pStyle w:val="a3"/>
        <w:snapToGrid w:val="0"/>
        <w:spacing w:beforeLines="50" w:before="156" w:beforeAutospacing="0" w:after="0" w:afterAutospacing="0" w:line="360" w:lineRule="auto"/>
        <w:jc w:val="center"/>
      </w:pPr>
      <w:r w:rsidRPr="0063440D">
        <w:rPr>
          <w:noProof/>
        </w:rPr>
        <w:lastRenderedPageBreak/>
        <w:drawing>
          <wp:inline distT="0" distB="0" distL="0" distR="0" wp14:anchorId="6E9C3F19" wp14:editId="63EA7D28">
            <wp:extent cx="4059135" cy="2651390"/>
            <wp:effectExtent l="0" t="0" r="0" b="0"/>
            <wp:docPr id="9769151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915135" name=""/>
                    <pic:cNvPicPr/>
                  </pic:nvPicPr>
                  <pic:blipFill>
                    <a:blip r:embed="rId10"/>
                    <a:stretch>
                      <a:fillRect/>
                    </a:stretch>
                  </pic:blipFill>
                  <pic:spPr>
                    <a:xfrm>
                      <a:off x="0" y="0"/>
                      <a:ext cx="4065036" cy="2655244"/>
                    </a:xfrm>
                    <a:prstGeom prst="rect">
                      <a:avLst/>
                    </a:prstGeom>
                  </pic:spPr>
                </pic:pic>
              </a:graphicData>
            </a:graphic>
          </wp:inline>
        </w:drawing>
      </w:r>
    </w:p>
    <w:p w14:paraId="0C5C642E" w14:textId="77777777" w:rsidR="008F51B3" w:rsidRDefault="008F51B3" w:rsidP="008F51B3">
      <w:pPr>
        <w:pStyle w:val="a3"/>
        <w:snapToGrid w:val="0"/>
        <w:spacing w:before="0" w:beforeAutospacing="0" w:after="0" w:afterAutospacing="0" w:line="360" w:lineRule="auto"/>
        <w:rPr>
          <w:rFonts w:ascii="Times New Roman" w:hAnsi="Times New Roman" w:cs="Times New Roman"/>
        </w:rPr>
      </w:pPr>
      <w:r>
        <w:rPr>
          <w:rFonts w:hint="eastAsia"/>
        </w:rPr>
        <w:t>2</w:t>
      </w:r>
      <w:r>
        <w:t xml:space="preserve">. </w:t>
      </w:r>
      <w:r>
        <w:rPr>
          <w:rFonts w:ascii="Times New Roman" w:hAnsi="Times New Roman" w:cs="Times New Roman"/>
        </w:rPr>
        <w:t>课后题</w:t>
      </w:r>
      <w:r>
        <w:rPr>
          <w:rFonts w:ascii="Times New Roman" w:hAnsi="Times New Roman" w:cs="Times New Roman"/>
        </w:rPr>
        <w:t>2.3</w:t>
      </w:r>
      <w:r>
        <w:rPr>
          <w:rFonts w:ascii="Times New Roman" w:hAnsi="Times New Roman" w:cs="Times New Roman"/>
        </w:rPr>
        <w:t>：</w:t>
      </w:r>
      <w:r>
        <w:t>判断以下序列的周期性，如果是周期序列，则计算序列的周期</w:t>
      </w:r>
      <w:r>
        <w:rPr>
          <w:position w:val="-6"/>
        </w:rPr>
        <w:object w:dxaOrig="277" w:dyaOrig="277" w14:anchorId="63A6C2A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pt;height:14pt" o:ole="">
            <v:imagedata r:id="rId11" o:title=""/>
          </v:shape>
          <o:OLEObject Type="Embed" ProgID="Equation.DSMT4" ShapeID="_x0000_i1025" DrawAspect="Content" ObjectID="_1835360481" r:id="rId12"/>
        </w:object>
      </w:r>
      <w:r>
        <w:t>。</w:t>
      </w:r>
    </w:p>
    <w:p w14:paraId="4F7C006B" w14:textId="77777777" w:rsidR="008F51B3" w:rsidRDefault="008F51B3" w:rsidP="008F51B3">
      <w:pPr>
        <w:pStyle w:val="a3"/>
        <w:snapToGrid w:val="0"/>
        <w:spacing w:before="0" w:beforeAutospacing="0" w:after="0" w:afterAutospacing="0" w:line="360" w:lineRule="auto"/>
        <w:rPr>
          <w:rFonts w:ascii="Times New Roman" w:hAnsi="Times New Roman" w:cs="Times New Roman"/>
        </w:rPr>
      </w:pPr>
      <w:r>
        <w:rPr>
          <w:rFonts w:ascii="Times New Roman" w:hAnsi="Times New Roman" w:cs="Times New Roman"/>
        </w:rPr>
        <w:t xml:space="preserve">(4) </w:t>
      </w:r>
      <w:r>
        <w:rPr>
          <w:position w:val="-28"/>
        </w:rPr>
        <w:object w:dxaOrig="2458" w:dyaOrig="675" w14:anchorId="0F85BE96">
          <v:shape id="_x0000_i1026" type="#_x0000_t75" style="width:123pt;height:34pt" o:ole="">
            <v:imagedata r:id="rId13" o:title=""/>
          </v:shape>
          <o:OLEObject Type="Embed" ProgID="Equation.DSMT4" ShapeID="_x0000_i1026" DrawAspect="Content" ObjectID="_1835360482" r:id="rId14"/>
        </w:object>
      </w:r>
      <w:r>
        <w:rPr>
          <w:rFonts w:hint="eastAsia"/>
        </w:rPr>
        <w:t>；</w:t>
      </w:r>
      <w:r>
        <w:rPr>
          <w:rFonts w:ascii="Times New Roman" w:hAnsi="Times New Roman" w:cs="Times New Roman"/>
        </w:rPr>
        <w:t>(5)</w:t>
      </w:r>
      <w:r>
        <w:t xml:space="preserve"> </w:t>
      </w:r>
      <w:r>
        <w:rPr>
          <w:position w:val="-10"/>
        </w:rPr>
        <w:object w:dxaOrig="1562" w:dyaOrig="563" w14:anchorId="18ED2C07">
          <v:shape id="_x0000_i1027" type="#_x0000_t75" style="width:78pt;height:28pt" o:ole="">
            <v:imagedata r:id="rId15" o:title=""/>
          </v:shape>
          <o:OLEObject Type="Embed" ProgID="Equation.DSMT4" ShapeID="_x0000_i1027" DrawAspect="Content" ObjectID="_1835360483" r:id="rId16"/>
        </w:object>
      </w:r>
      <w:r>
        <w:rPr>
          <w:rFonts w:ascii="Times New Roman" w:hAnsi="Times New Roman" w:cs="Times New Roman" w:hint="eastAsia"/>
        </w:rPr>
        <w:t>；</w:t>
      </w:r>
      <w:r>
        <w:rPr>
          <w:rFonts w:ascii="Times New Roman" w:hAnsi="Times New Roman" w:cs="Times New Roman"/>
        </w:rPr>
        <w:t>(6)</w:t>
      </w:r>
      <w:r>
        <w:t xml:space="preserve"> </w:t>
      </w:r>
      <w:r>
        <w:rPr>
          <w:position w:val="-28"/>
        </w:rPr>
        <w:object w:dxaOrig="2139" w:dyaOrig="675" w14:anchorId="5DBED079">
          <v:shape id="_x0000_i1028" type="#_x0000_t75" style="width:107pt;height:34pt" o:ole="">
            <v:imagedata r:id="rId17" o:title=""/>
          </v:shape>
          <o:OLEObject Type="Embed" ProgID="Equation.DSMT4" ShapeID="_x0000_i1028" DrawAspect="Content" ObjectID="_1835360484" r:id="rId18"/>
        </w:object>
      </w:r>
      <w:r>
        <w:rPr>
          <w:rFonts w:hint="eastAsia"/>
        </w:rPr>
        <w:t>。</w:t>
      </w:r>
    </w:p>
    <w:p w14:paraId="6328DC31" w14:textId="77777777" w:rsidR="008F51B3" w:rsidRDefault="008F51B3" w:rsidP="008F51B3">
      <w:pPr>
        <w:pStyle w:val="a3"/>
        <w:snapToGrid w:val="0"/>
        <w:spacing w:before="0" w:beforeAutospacing="0" w:after="0" w:afterAutospacing="0" w:line="360" w:lineRule="auto"/>
        <w:rPr>
          <w:rFonts w:ascii="Times New Roman" w:hAnsi="Times New Roman" w:cs="Times New Roman"/>
        </w:rPr>
      </w:pPr>
    </w:p>
    <w:p w14:paraId="31941D0B" w14:textId="77777777" w:rsidR="008F51B3" w:rsidRDefault="008F51B3" w:rsidP="008F51B3">
      <w:pPr>
        <w:pStyle w:val="a3"/>
        <w:snapToGrid w:val="0"/>
        <w:spacing w:before="0" w:beforeAutospacing="0" w:after="0" w:afterAutospacing="0" w:line="360" w:lineRule="auto"/>
      </w:pPr>
      <w:r>
        <w:rPr>
          <w:rFonts w:ascii="Times New Roman" w:hAnsi="Times New Roman" w:cs="Times New Roman"/>
        </w:rPr>
        <w:t xml:space="preserve">3. </w:t>
      </w:r>
      <w:r>
        <w:rPr>
          <w:rFonts w:ascii="Times New Roman" w:hAnsi="Times New Roman" w:cs="Times New Roman"/>
        </w:rPr>
        <w:t>课后题</w:t>
      </w:r>
      <w:r>
        <w:rPr>
          <w:rFonts w:ascii="Times New Roman" w:hAnsi="Times New Roman" w:cs="Times New Roman"/>
        </w:rPr>
        <w:t>2.4</w:t>
      </w:r>
      <w:r>
        <w:rPr>
          <w:rFonts w:ascii="Times New Roman" w:hAnsi="Times New Roman" w:cs="Times New Roman"/>
        </w:rPr>
        <w:t>：</w:t>
      </w:r>
      <w:r>
        <w:t>已知序列</w:t>
      </w:r>
      <w:r>
        <w:rPr>
          <w:position w:val="-14"/>
        </w:rPr>
        <w:object w:dxaOrig="2622" w:dyaOrig="399" w14:anchorId="7C509A2E">
          <v:shape id="_x0000_i1029" type="#_x0000_t75" style="width:131pt;height:20pt" o:ole="">
            <v:imagedata r:id="rId19" o:title=""/>
          </v:shape>
          <o:OLEObject Type="Embed" ProgID="Equation.DSMT4" ShapeID="_x0000_i1029" DrawAspect="Content" ObjectID="_1835360485" r:id="rId20"/>
        </w:object>
      </w:r>
      <w:r>
        <w:t>，</w:t>
      </w:r>
      <w:r>
        <w:rPr>
          <w:position w:val="-14"/>
        </w:rPr>
        <w:object w:dxaOrig="2524" w:dyaOrig="399" w14:anchorId="3B37C9F4">
          <v:shape id="_x0000_i1030" type="#_x0000_t75" style="width:126pt;height:20pt" o:ole="">
            <v:imagedata r:id="rId21" o:title=""/>
          </v:shape>
          <o:OLEObject Type="Embed" ProgID="Equation.DSMT4" ShapeID="_x0000_i1030" DrawAspect="Content" ObjectID="_1835360486" r:id="rId22"/>
        </w:object>
      </w:r>
      <w:r>
        <w:t>，且在给定范围之外的序列值为零，计算以下的序列：</w:t>
      </w:r>
    </w:p>
    <w:p w14:paraId="09036E2F" w14:textId="0FD1B040" w:rsidR="00597475" w:rsidRPr="00717281" w:rsidRDefault="008F51B3" w:rsidP="00717281">
      <w:pPr>
        <w:pStyle w:val="a3"/>
        <w:snapToGrid w:val="0"/>
        <w:spacing w:before="0" w:beforeAutospacing="0" w:after="0" w:afterAutospacing="0" w:line="360" w:lineRule="auto"/>
        <w:rPr>
          <w:rFonts w:ascii="Times New Roman" w:hAnsi="Times New Roman" w:cs="Times New Roman" w:hint="eastAsia"/>
        </w:rPr>
      </w:pPr>
      <w:r>
        <w:rPr>
          <w:rFonts w:ascii="Times New Roman" w:hAnsi="Times New Roman" w:cs="Times New Roman"/>
        </w:rPr>
        <w:t>(1)</w:t>
      </w:r>
      <w:r>
        <w:t xml:space="preserve"> </w:t>
      </w:r>
      <w:r>
        <w:rPr>
          <w:position w:val="-10"/>
        </w:rPr>
        <w:object w:dxaOrig="1220" w:dyaOrig="319" w14:anchorId="664B5733">
          <v:shape id="_x0000_i1031" type="#_x0000_t75" style="width:61pt;height:16pt" o:ole="">
            <v:imagedata r:id="rId23" o:title=""/>
          </v:shape>
          <o:OLEObject Type="Embed" ProgID="Equation.DSMT4" ShapeID="_x0000_i1031" DrawAspect="Content" ObjectID="_1835360487" r:id="rId24"/>
        </w:object>
      </w:r>
      <w:r>
        <w:rPr>
          <w:rFonts w:hint="eastAsia"/>
        </w:rPr>
        <w:t>；</w:t>
      </w:r>
      <w:r>
        <w:rPr>
          <w:rFonts w:ascii="Times New Roman" w:hAnsi="Times New Roman" w:cs="Times New Roman"/>
        </w:rPr>
        <w:t>(3)</w:t>
      </w:r>
      <w:r>
        <w:t xml:space="preserve"> </w:t>
      </w:r>
      <w:r>
        <w:rPr>
          <w:position w:val="-10"/>
        </w:rPr>
        <w:object w:dxaOrig="1562" w:dyaOrig="319" w14:anchorId="735D3D41">
          <v:shape id="_x0000_i1032" type="#_x0000_t75" style="width:78pt;height:16pt" o:ole="">
            <v:imagedata r:id="rId25" o:title=""/>
          </v:shape>
          <o:OLEObject Type="Embed" ProgID="Equation.DSMT4" ShapeID="_x0000_i1032" DrawAspect="Content" ObjectID="_1835360488" r:id="rId26"/>
        </w:object>
      </w:r>
      <w:r>
        <w:rPr>
          <w:rFonts w:hint="eastAsia"/>
        </w:rPr>
        <w:t>；</w:t>
      </w:r>
      <w:r>
        <w:rPr>
          <w:rFonts w:ascii="Times New Roman" w:hAnsi="Times New Roman" w:cs="Times New Roman"/>
        </w:rPr>
        <w:t xml:space="preserve">(5) </w:t>
      </w:r>
      <w:r>
        <w:rPr>
          <w:position w:val="-10"/>
        </w:rPr>
        <w:object w:dxaOrig="2040" w:dyaOrig="319" w14:anchorId="5B03DEDF">
          <v:shape id="_x0000_i1033" type="#_x0000_t75" style="width:102pt;height:16pt" o:ole="">
            <v:imagedata r:id="rId27" o:title=""/>
          </v:shape>
          <o:OLEObject Type="Embed" ProgID="Equation.DSMT4" ShapeID="_x0000_i1033" DrawAspect="Content" ObjectID="_1835360489" r:id="rId28"/>
        </w:object>
      </w:r>
      <w:r>
        <w:rPr>
          <w:rFonts w:hint="eastAsia"/>
        </w:rPr>
        <w:t>。</w:t>
      </w:r>
    </w:p>
    <w:sectPr w:rsidR="00597475" w:rsidRPr="00717281">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0D439C" w14:textId="77777777" w:rsidR="000A648E" w:rsidRDefault="000A648E" w:rsidP="00C32549">
      <w:r>
        <w:separator/>
      </w:r>
    </w:p>
  </w:endnote>
  <w:endnote w:type="continuationSeparator" w:id="0">
    <w:p w14:paraId="22B2012B" w14:textId="77777777" w:rsidR="000A648E" w:rsidRDefault="000A648E" w:rsidP="00C325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9C0D2" w14:textId="77777777" w:rsidR="000A648E" w:rsidRDefault="000A648E" w:rsidP="00C32549">
      <w:r>
        <w:separator/>
      </w:r>
    </w:p>
  </w:footnote>
  <w:footnote w:type="continuationSeparator" w:id="0">
    <w:p w14:paraId="32E97737" w14:textId="77777777" w:rsidR="000A648E" w:rsidRDefault="000A648E" w:rsidP="00C3254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E71C37"/>
    <w:multiLevelType w:val="hybridMultilevel"/>
    <w:tmpl w:val="D4B6FE3C"/>
    <w:lvl w:ilvl="0" w:tplc="6D4C9F0A">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341346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UyMWM1M2E2ZmI1NDM2NWJlY2QxNDVlZGNjMmE4N2EifQ=="/>
  </w:docVars>
  <w:rsids>
    <w:rsidRoot w:val="004574E8"/>
    <w:rsid w:val="000A648E"/>
    <w:rsid w:val="001222E8"/>
    <w:rsid w:val="002B7497"/>
    <w:rsid w:val="003655DA"/>
    <w:rsid w:val="00381327"/>
    <w:rsid w:val="00404F88"/>
    <w:rsid w:val="004574E8"/>
    <w:rsid w:val="005025B4"/>
    <w:rsid w:val="005379AE"/>
    <w:rsid w:val="00557D59"/>
    <w:rsid w:val="00567069"/>
    <w:rsid w:val="00597475"/>
    <w:rsid w:val="0063440D"/>
    <w:rsid w:val="006857C8"/>
    <w:rsid w:val="006D0140"/>
    <w:rsid w:val="006D5CDC"/>
    <w:rsid w:val="00717281"/>
    <w:rsid w:val="007B7051"/>
    <w:rsid w:val="00834B40"/>
    <w:rsid w:val="00894E96"/>
    <w:rsid w:val="008D2B00"/>
    <w:rsid w:val="008D49A4"/>
    <w:rsid w:val="008F51B3"/>
    <w:rsid w:val="00941DD3"/>
    <w:rsid w:val="009E63F3"/>
    <w:rsid w:val="009F3F49"/>
    <w:rsid w:val="00A84A0C"/>
    <w:rsid w:val="00B425DB"/>
    <w:rsid w:val="00B93764"/>
    <w:rsid w:val="00BF3AC0"/>
    <w:rsid w:val="00C32549"/>
    <w:rsid w:val="00CA15B1"/>
    <w:rsid w:val="00D34D55"/>
    <w:rsid w:val="00D81F85"/>
    <w:rsid w:val="00DE1FCA"/>
    <w:rsid w:val="00E03910"/>
    <w:rsid w:val="00E12879"/>
    <w:rsid w:val="00E31052"/>
    <w:rsid w:val="00EC4766"/>
    <w:rsid w:val="00F45CF5"/>
    <w:rsid w:val="02752C0E"/>
    <w:rsid w:val="271E188C"/>
    <w:rsid w:val="43524C1C"/>
    <w:rsid w:val="45D11FBF"/>
    <w:rsid w:val="577713CA"/>
    <w:rsid w:val="788442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680A0B"/>
  <w15:docId w15:val="{018EAABE-CC96-4FF6-BBF8-4FB143E682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pPr>
      <w:widowControl/>
      <w:spacing w:before="100" w:beforeAutospacing="1" w:after="100" w:afterAutospacing="1"/>
      <w:jc w:val="left"/>
    </w:pPr>
    <w:rPr>
      <w:rFonts w:ascii="宋体" w:eastAsia="宋体" w:hAnsi="宋体" w:cs="宋体"/>
      <w:kern w:val="0"/>
      <w:sz w:val="24"/>
      <w:szCs w:val="24"/>
    </w:rPr>
  </w:style>
  <w:style w:type="paragraph" w:styleId="a4">
    <w:name w:val="header"/>
    <w:basedOn w:val="a"/>
    <w:link w:val="a5"/>
    <w:uiPriority w:val="99"/>
    <w:unhideWhenUsed/>
    <w:rsid w:val="00C32549"/>
    <w:pPr>
      <w:tabs>
        <w:tab w:val="center" w:pos="4153"/>
        <w:tab w:val="right" w:pos="8306"/>
      </w:tabs>
      <w:snapToGrid w:val="0"/>
      <w:jc w:val="center"/>
    </w:pPr>
    <w:rPr>
      <w:sz w:val="18"/>
      <w:szCs w:val="18"/>
    </w:rPr>
  </w:style>
  <w:style w:type="character" w:customStyle="1" w:styleId="a5">
    <w:name w:val="页眉 字符"/>
    <w:basedOn w:val="a0"/>
    <w:link w:val="a4"/>
    <w:uiPriority w:val="99"/>
    <w:rsid w:val="00C32549"/>
    <w:rPr>
      <w:kern w:val="2"/>
      <w:sz w:val="18"/>
      <w:szCs w:val="18"/>
    </w:rPr>
  </w:style>
  <w:style w:type="paragraph" w:styleId="a6">
    <w:name w:val="footer"/>
    <w:basedOn w:val="a"/>
    <w:link w:val="a7"/>
    <w:uiPriority w:val="99"/>
    <w:unhideWhenUsed/>
    <w:rsid w:val="00C32549"/>
    <w:pPr>
      <w:tabs>
        <w:tab w:val="center" w:pos="4153"/>
        <w:tab w:val="right" w:pos="8306"/>
      </w:tabs>
      <w:snapToGrid w:val="0"/>
      <w:jc w:val="left"/>
    </w:pPr>
    <w:rPr>
      <w:sz w:val="18"/>
      <w:szCs w:val="18"/>
    </w:rPr>
  </w:style>
  <w:style w:type="character" w:customStyle="1" w:styleId="a7">
    <w:name w:val="页脚 字符"/>
    <w:basedOn w:val="a0"/>
    <w:link w:val="a6"/>
    <w:uiPriority w:val="99"/>
    <w:rsid w:val="00C32549"/>
    <w:rPr>
      <w:kern w:val="2"/>
      <w:sz w:val="18"/>
      <w:szCs w:val="18"/>
    </w:rPr>
  </w:style>
  <w:style w:type="table" w:styleId="a8">
    <w:name w:val="Table Grid"/>
    <w:basedOn w:val="a1"/>
    <w:uiPriority w:val="39"/>
    <w:rsid w:val="006857C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wmf"/><Relationship Id="rId18" Type="http://schemas.openxmlformats.org/officeDocument/2006/relationships/oleObject" Target="embeddings/oleObject4.bin"/><Relationship Id="rId26" Type="http://schemas.openxmlformats.org/officeDocument/2006/relationships/oleObject" Target="embeddings/oleObject8.bin"/><Relationship Id="rId3" Type="http://schemas.openxmlformats.org/officeDocument/2006/relationships/settings" Target="settings.xml"/><Relationship Id="rId21" Type="http://schemas.openxmlformats.org/officeDocument/2006/relationships/image" Target="media/image10.wmf"/><Relationship Id="rId7" Type="http://schemas.openxmlformats.org/officeDocument/2006/relationships/image" Target="media/image1.png"/><Relationship Id="rId12" Type="http://schemas.openxmlformats.org/officeDocument/2006/relationships/oleObject" Target="embeddings/oleObject1.bin"/><Relationship Id="rId17" Type="http://schemas.openxmlformats.org/officeDocument/2006/relationships/image" Target="media/image8.wmf"/><Relationship Id="rId25" Type="http://schemas.openxmlformats.org/officeDocument/2006/relationships/image" Target="media/image12.wmf"/><Relationship Id="rId2" Type="http://schemas.openxmlformats.org/officeDocument/2006/relationships/styles" Target="styles.xml"/><Relationship Id="rId16" Type="http://schemas.openxmlformats.org/officeDocument/2006/relationships/oleObject" Target="embeddings/oleObject3.bin"/><Relationship Id="rId20" Type="http://schemas.openxmlformats.org/officeDocument/2006/relationships/oleObject" Target="embeddings/oleObject5.bin"/><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wmf"/><Relationship Id="rId24" Type="http://schemas.openxmlformats.org/officeDocument/2006/relationships/oleObject" Target="embeddings/oleObject7.bin"/><Relationship Id="rId5" Type="http://schemas.openxmlformats.org/officeDocument/2006/relationships/footnotes" Target="footnotes.xml"/><Relationship Id="rId15" Type="http://schemas.openxmlformats.org/officeDocument/2006/relationships/image" Target="media/image7.wmf"/><Relationship Id="rId23" Type="http://schemas.openxmlformats.org/officeDocument/2006/relationships/image" Target="media/image11.wmf"/><Relationship Id="rId28" Type="http://schemas.openxmlformats.org/officeDocument/2006/relationships/oleObject" Target="embeddings/oleObject9.bin"/><Relationship Id="rId10" Type="http://schemas.openxmlformats.org/officeDocument/2006/relationships/image" Target="media/image4.png"/><Relationship Id="rId19" Type="http://schemas.openxmlformats.org/officeDocument/2006/relationships/image" Target="media/image9.wm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13.wmf"/><Relationship Id="rId3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4</Pages>
  <Words>402</Words>
  <Characters>2298</Characters>
  <Application>Microsoft Office Word</Application>
  <DocSecurity>0</DocSecurity>
  <Lines>19</Lines>
  <Paragraphs>5</Paragraphs>
  <ScaleCrop>false</ScaleCrop>
  <Company/>
  <LinksUpToDate>false</LinksUpToDate>
  <CharactersWithSpaces>2695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依北风</dc:creator>
  <cp:lastModifiedBy>Taoming Yang</cp:lastModifiedBy>
  <cp:revision>29</cp:revision>
  <dcterms:created xsi:type="dcterms:W3CDTF">2022-03-03T00:37:00Z</dcterms:created>
  <dcterms:modified xsi:type="dcterms:W3CDTF">2026-03-18T09:35:00Z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B64DAC8928BB473795959DC5C2859311_12</vt:lpwstr>
  </property>
</Properties>
</file>