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eastAsia="Microsoft YaHei"/>
          <w:b/>
          <w:color w:val="F0A24A"/>
          <w:sz w:val="21"/>
        </w:rPr>
        <w:t>SPEAKER SCRIPT</w:t>
      </w:r>
    </w:p>
    <w:p>
      <w:pPr>
        <w:spacing w:after="200"/>
        <w:jc w:val="center"/>
      </w:pPr>
      <w:r>
        <w:rPr>
          <w:rFonts w:ascii="Calibri" w:hAnsi="Calibri" w:eastAsia="Microsoft YaHei"/>
          <w:b/>
          <w:color w:val="0F3555"/>
          <w:sz w:val="56"/>
        </w:rPr>
        <w:t>CHIEF：面向癌症诊断与预后的</w:t>
        <w:br/>
        <w:t>病理基础模型</w:t>
      </w:r>
    </w:p>
    <w:p>
      <w:pPr>
        <w:spacing w:after="560"/>
        <w:jc w:val="center"/>
      </w:pPr>
      <w:r>
        <w:rPr>
          <w:rFonts w:ascii="Calibri" w:hAnsi="Calibri" w:eastAsia="Microsoft YaHei"/>
          <w:b/>
          <w:color w:val="2D76A8"/>
          <w:sz w:val="28"/>
        </w:rPr>
        <w:t>算法讲解、Jittor 实现、训练测试演示与跨框架验证</w:t>
      </w:r>
    </w:p>
    <w:p>
      <w:pPr>
        <w:spacing w:after="1600"/>
        <w:jc w:val="center"/>
      </w:pPr>
      <w:r>
        <w:rPr>
          <w:rFonts w:ascii="Calibri" w:hAnsi="Calibri" w:eastAsia="Microsoft YaHei"/>
          <w:color w:val="687B8C"/>
          <w:sz w:val="22"/>
        </w:rPr>
        <w:t>建议总时长：约 25 分钟｜算法讲解 9 分 30 秒｜Jittor 实现与演示 13 分 25 秒｜思考结论 2 分 05 秒</w:t>
      </w:r>
    </w:p>
    <w:p>
      <w:pPr>
        <w:jc w:val="center"/>
      </w:pPr>
      <w:r>
        <w:rPr>
          <w:rFonts w:ascii="Calibri" w:hAnsi="Calibri" w:eastAsia="Microsoft YaHei"/>
          <w:b/>
          <w:color w:val="174A74"/>
          <w:sz w:val="22"/>
        </w:rPr>
        <w:t>汇报人：杨博涵</w:t>
        <w:br/>
        <w:t>GitHub: https://github.com/Yang-yang052/Jittor-CHIEF</w:t>
        <w:br/>
        <w:t>2026</w:t>
      </w:r>
    </w:p>
    <w:p>
      <w:r>
        <w:br w:type="page"/>
      </w:r>
    </w:p>
    <w:p>
      <w:pPr>
        <w:pStyle w:val="Heading1"/>
      </w:pPr>
      <w:r>
        <w:t>汇报节奏与使用方式</w:t>
      </w:r>
    </w:p>
    <w:p>
      <w:r>
        <w:rPr>
          <w:rFonts w:ascii="Calibri" w:hAnsi="Calibri" w:eastAsia="Microsoft YaHei"/>
          <w:b/>
          <w:color w:val="E66F6A"/>
        </w:rPr>
        <w:t>核心使用原则：</w:t>
      </w:r>
      <w:r>
        <w:rPr>
          <w:rFonts w:ascii="Calibri" w:hAnsi="Calibri" w:eastAsia="Microsoft YaHei"/>
          <w:color w:val="183247"/>
        </w:rPr>
        <w:t>正文是可直接说出口的讲稿；灰色“演示动作”是操作提示，不需要逐字念。现场打开终端或 GitHub 时，允许 2–3 秒停顿，让观众看清证据。</w:t>
      </w:r>
    </w:p>
    <w:tbl>
      <w:tblPr>
        <w:tblStyle w:val="TableGrid"/>
        <w:tblW w:type="dxa" w:w="9360"/>
        <w:tblLayout w:type="fixed"/>
        <w:tblLook w:firstColumn="1" w:firstRow="1" w:lastColumn="0" w:lastRow="0" w:noHBand="0" w:noVBand="1" w:val="04A0"/>
        <w:tblInd w:w="120" w:type="dxa"/>
      </w:tblPr>
      <w:tblGrid>
        <w:gridCol w:w="1800"/>
        <w:gridCol w:w="1224"/>
        <w:gridCol w:w="1512"/>
        <w:gridCol w:w="4824"/>
      </w:tblGrid>
      <w:tr>
        <w:trPr>
          <w:tblHeader w:val="true"/>
        </w:trPr>
        <w:tc>
          <w:tcPr>
            <w:tcW w:type="dxa" w:w="1800"/>
            <w:shd w:fill="174A74"/>
            <w:tcMar>
              <w:top w:w="80" w:type="dxa"/>
              <w:start w:w="120" w:type="dxa"/>
              <w:bottom w:w="80" w:type="dxa"/>
              <w:end w:w="120" w:type="dxa"/>
            </w:tcMar>
            <w:vAlign w:val="center"/>
          </w:tcPr>
          <w:p>
            <w:pPr>
              <w:jc w:val="center"/>
            </w:pPr>
            <w:r>
              <w:rPr>
                <w:rFonts w:ascii="Calibri" w:hAnsi="Calibri" w:eastAsia="Microsoft YaHei"/>
                <w:b/>
                <w:color w:val="FFFFFF"/>
                <w:sz w:val="21"/>
              </w:rPr>
              <w:t>部分</w:t>
            </w:r>
          </w:p>
        </w:tc>
        <w:tc>
          <w:tcPr>
            <w:tcW w:type="dxa" w:w="1224"/>
            <w:shd w:fill="174A74"/>
            <w:tcMar>
              <w:top w:w="80" w:type="dxa"/>
              <w:start w:w="120" w:type="dxa"/>
              <w:bottom w:w="80" w:type="dxa"/>
              <w:end w:w="120" w:type="dxa"/>
            </w:tcMar>
            <w:vAlign w:val="center"/>
          </w:tcPr>
          <w:p>
            <w:pPr>
              <w:jc w:val="center"/>
            </w:pPr>
            <w:r>
              <w:rPr>
                <w:rFonts w:ascii="Calibri" w:hAnsi="Calibri" w:eastAsia="Microsoft YaHei"/>
                <w:b/>
                <w:color w:val="FFFFFF"/>
                <w:sz w:val="21"/>
              </w:rPr>
              <w:t>页码</w:t>
            </w:r>
          </w:p>
        </w:tc>
        <w:tc>
          <w:tcPr>
            <w:tcW w:type="dxa" w:w="1512"/>
            <w:shd w:fill="174A74"/>
            <w:tcMar>
              <w:top w:w="80" w:type="dxa"/>
              <w:start w:w="120" w:type="dxa"/>
              <w:bottom w:w="80" w:type="dxa"/>
              <w:end w:w="120" w:type="dxa"/>
            </w:tcMar>
            <w:vAlign w:val="center"/>
          </w:tcPr>
          <w:p>
            <w:pPr>
              <w:jc w:val="center"/>
            </w:pPr>
            <w:r>
              <w:rPr>
                <w:rFonts w:ascii="Calibri" w:hAnsi="Calibri" w:eastAsia="Microsoft YaHei"/>
                <w:b/>
                <w:color w:val="FFFFFF"/>
                <w:sz w:val="21"/>
              </w:rPr>
              <w:t>目标时长</w:t>
            </w:r>
          </w:p>
        </w:tc>
        <w:tc>
          <w:tcPr>
            <w:tcW w:type="dxa" w:w="4824"/>
            <w:shd w:fill="174A74"/>
            <w:tcMar>
              <w:top w:w="80" w:type="dxa"/>
              <w:start w:w="120" w:type="dxa"/>
              <w:bottom w:w="80" w:type="dxa"/>
              <w:end w:w="120" w:type="dxa"/>
            </w:tcMar>
            <w:vAlign w:val="center"/>
          </w:tcPr>
          <w:p>
            <w:pPr>
              <w:jc w:val="center"/>
            </w:pPr>
            <w:r>
              <w:rPr>
                <w:rFonts w:ascii="Calibri" w:hAnsi="Calibri" w:eastAsia="Microsoft YaHei"/>
                <w:b/>
                <w:color w:val="FFFFFF"/>
                <w:sz w:val="21"/>
              </w:rPr>
              <w:t>汇报任务</w:t>
            </w:r>
          </w:p>
        </w:tc>
      </w:tr>
      <w:tr>
        <w:tc>
          <w:tcPr>
            <w:tcW w:type="dxa" w:w="1800"/>
            <w:shd w:fill="F4F7FA"/>
            <w:tcMar>
              <w:top w:w="80" w:type="dxa"/>
              <w:start w:w="120" w:type="dxa"/>
              <w:bottom w:w="80" w:type="dxa"/>
              <w:end w:w="120" w:type="dxa"/>
            </w:tcMar>
            <w:vAlign w:val="center"/>
          </w:tcPr>
          <w:p>
            <w:pPr>
              <w:jc w:val="center"/>
            </w:pPr>
            <w:r>
              <w:rPr>
                <w:rFonts w:ascii="Calibri" w:hAnsi="Calibri" w:eastAsia="Microsoft YaHei"/>
                <w:color w:val="183247"/>
                <w:sz w:val="21"/>
              </w:rPr>
              <w:t>论文与算法</w:t>
            </w:r>
          </w:p>
        </w:tc>
        <w:tc>
          <w:tcPr>
            <w:tcW w:type="dxa" w:w="1224"/>
            <w:shd w:fill="F4F7FA"/>
            <w:tcMar>
              <w:top w:w="80" w:type="dxa"/>
              <w:start w:w="120" w:type="dxa"/>
              <w:bottom w:w="80" w:type="dxa"/>
              <w:end w:w="120" w:type="dxa"/>
            </w:tcMar>
            <w:vAlign w:val="center"/>
          </w:tcPr>
          <w:p>
            <w:pPr>
              <w:jc w:val="center"/>
            </w:pPr>
            <w:r>
              <w:rPr>
                <w:rFonts w:ascii="Calibri" w:hAnsi="Calibri" w:eastAsia="Microsoft YaHei"/>
                <w:color w:val="183247"/>
                <w:sz w:val="21"/>
              </w:rPr>
              <w:t>1–12</w:t>
            </w:r>
          </w:p>
        </w:tc>
        <w:tc>
          <w:tcPr>
            <w:tcW w:type="dxa" w:w="1512"/>
            <w:shd w:fill="F4F7FA"/>
            <w:tcMar>
              <w:top w:w="80" w:type="dxa"/>
              <w:start w:w="120" w:type="dxa"/>
              <w:bottom w:w="80" w:type="dxa"/>
              <w:end w:w="120" w:type="dxa"/>
            </w:tcMar>
            <w:vAlign w:val="center"/>
          </w:tcPr>
          <w:p>
            <w:pPr>
              <w:jc w:val="center"/>
            </w:pPr>
            <w:r>
              <w:rPr>
                <w:rFonts w:ascii="Calibri" w:hAnsi="Calibri" w:eastAsia="Microsoft YaHei"/>
                <w:color w:val="183247"/>
                <w:sz w:val="21"/>
              </w:rPr>
              <w:t>约 9:30</w:t>
            </w:r>
          </w:p>
        </w:tc>
        <w:tc>
          <w:tcPr>
            <w:tcW w:type="dxa" w:w="4824"/>
            <w:shd w:fill="F4F7FA"/>
            <w:tcMar>
              <w:top w:w="80" w:type="dxa"/>
              <w:start w:w="120" w:type="dxa"/>
              <w:bottom w:w="80" w:type="dxa"/>
              <w:end w:w="120" w:type="dxa"/>
            </w:tcMar>
            <w:vAlign w:val="center"/>
          </w:tcPr>
          <w:p>
            <w:pPr>
              <w:jc w:val="left"/>
            </w:pPr>
            <w:r>
              <w:rPr>
                <w:rFonts w:ascii="Calibri" w:hAnsi="Calibri" w:eastAsia="Microsoft YaHei"/>
                <w:color w:val="183247"/>
                <w:sz w:val="21"/>
              </w:rPr>
              <w:t>解释 CHIEF 为什么这样设计；不陷入公式推导。</w:t>
            </w:r>
          </w:p>
        </w:tc>
      </w:tr>
      <w:tr>
        <w:tc>
          <w:tcPr>
            <w:tcW w:type="dxa" w:w="1800"/>
            <w:tcMar>
              <w:top w:w="80" w:type="dxa"/>
              <w:start w:w="120" w:type="dxa"/>
              <w:bottom w:w="80" w:type="dxa"/>
              <w:end w:w="120" w:type="dxa"/>
            </w:tcMar>
            <w:vAlign w:val="center"/>
          </w:tcPr>
          <w:p>
            <w:pPr>
              <w:jc w:val="center"/>
            </w:pPr>
            <w:r>
              <w:rPr>
                <w:rFonts w:ascii="Calibri" w:hAnsi="Calibri" w:eastAsia="Microsoft YaHei"/>
                <w:color w:val="183247"/>
                <w:sz w:val="21"/>
              </w:rPr>
              <w:t>Jittor 实现与演示</w:t>
            </w:r>
          </w:p>
        </w:tc>
        <w:tc>
          <w:tcPr>
            <w:tcW w:type="dxa" w:w="1224"/>
            <w:tcMar>
              <w:top w:w="80" w:type="dxa"/>
              <w:start w:w="120" w:type="dxa"/>
              <w:bottom w:w="80" w:type="dxa"/>
              <w:end w:w="120" w:type="dxa"/>
            </w:tcMar>
            <w:vAlign w:val="center"/>
          </w:tcPr>
          <w:p>
            <w:pPr>
              <w:jc w:val="center"/>
            </w:pPr>
            <w:r>
              <w:rPr>
                <w:rFonts w:ascii="Calibri" w:hAnsi="Calibri" w:eastAsia="Microsoft YaHei"/>
                <w:color w:val="183247"/>
                <w:sz w:val="21"/>
              </w:rPr>
              <w:t>13–28</w:t>
            </w:r>
          </w:p>
        </w:tc>
        <w:tc>
          <w:tcPr>
            <w:tcW w:type="dxa" w:w="1512"/>
            <w:tcMar>
              <w:top w:w="80" w:type="dxa"/>
              <w:start w:w="120" w:type="dxa"/>
              <w:bottom w:w="80" w:type="dxa"/>
              <w:end w:w="120" w:type="dxa"/>
            </w:tcMar>
            <w:vAlign w:val="center"/>
          </w:tcPr>
          <w:p>
            <w:pPr>
              <w:jc w:val="center"/>
            </w:pPr>
            <w:r>
              <w:rPr>
                <w:rFonts w:ascii="Calibri" w:hAnsi="Calibri" w:eastAsia="Microsoft YaHei"/>
                <w:color w:val="183247"/>
                <w:sz w:val="21"/>
              </w:rPr>
              <w:t>约 13:25</w:t>
            </w:r>
          </w:p>
        </w:tc>
        <w:tc>
          <w:tcPr>
            <w:tcW w:type="dxa" w:w="4824"/>
            <w:tcMar>
              <w:top w:w="80" w:type="dxa"/>
              <w:start w:w="120" w:type="dxa"/>
              <w:bottom w:w="80" w:type="dxa"/>
              <w:end w:w="120" w:type="dxa"/>
            </w:tcMar>
            <w:vAlign w:val="center"/>
          </w:tcPr>
          <w:p>
            <w:pPr>
              <w:jc w:val="left"/>
            </w:pPr>
            <w:r>
              <w:rPr>
                <w:rFonts w:ascii="Calibri" w:hAnsi="Calibri" w:eastAsia="Microsoft YaHei"/>
                <w:color w:val="183247"/>
                <w:sz w:val="21"/>
              </w:rPr>
              <w:t>展示模型实现、训练、测试、数值对齐、压力实验和 CI。</w:t>
            </w:r>
          </w:p>
        </w:tc>
      </w:tr>
      <w:tr>
        <w:tc>
          <w:tcPr>
            <w:tcW w:type="dxa" w:w="1800"/>
            <w:shd w:fill="F4F7FA"/>
            <w:tcMar>
              <w:top w:w="80" w:type="dxa"/>
              <w:start w:w="120" w:type="dxa"/>
              <w:bottom w:w="80" w:type="dxa"/>
              <w:end w:w="120" w:type="dxa"/>
            </w:tcMar>
            <w:vAlign w:val="center"/>
          </w:tcPr>
          <w:p>
            <w:pPr>
              <w:jc w:val="center"/>
            </w:pPr>
            <w:r>
              <w:rPr>
                <w:rFonts w:ascii="Calibri" w:hAnsi="Calibri" w:eastAsia="Microsoft YaHei"/>
                <w:color w:val="183247"/>
                <w:sz w:val="21"/>
              </w:rPr>
              <w:t>思考与结论</w:t>
            </w:r>
          </w:p>
        </w:tc>
        <w:tc>
          <w:tcPr>
            <w:tcW w:type="dxa" w:w="1224"/>
            <w:shd w:fill="F4F7FA"/>
            <w:tcMar>
              <w:top w:w="80" w:type="dxa"/>
              <w:start w:w="120" w:type="dxa"/>
              <w:bottom w:w="80" w:type="dxa"/>
              <w:end w:w="120" w:type="dxa"/>
            </w:tcMar>
            <w:vAlign w:val="center"/>
          </w:tcPr>
          <w:p>
            <w:pPr>
              <w:jc w:val="center"/>
            </w:pPr>
            <w:r>
              <w:rPr>
                <w:rFonts w:ascii="Calibri" w:hAnsi="Calibri" w:eastAsia="Microsoft YaHei"/>
                <w:color w:val="183247"/>
                <w:sz w:val="21"/>
              </w:rPr>
              <w:t>29–30</w:t>
            </w:r>
          </w:p>
        </w:tc>
        <w:tc>
          <w:tcPr>
            <w:tcW w:type="dxa" w:w="1512"/>
            <w:shd w:fill="F4F7FA"/>
            <w:tcMar>
              <w:top w:w="80" w:type="dxa"/>
              <w:start w:w="120" w:type="dxa"/>
              <w:bottom w:w="80" w:type="dxa"/>
              <w:end w:w="120" w:type="dxa"/>
            </w:tcMar>
            <w:vAlign w:val="center"/>
          </w:tcPr>
          <w:p>
            <w:pPr>
              <w:jc w:val="center"/>
            </w:pPr>
            <w:r>
              <w:rPr>
                <w:rFonts w:ascii="Calibri" w:hAnsi="Calibri" w:eastAsia="Microsoft YaHei"/>
                <w:color w:val="183247"/>
                <w:sz w:val="21"/>
              </w:rPr>
              <w:t>约 2:05</w:t>
            </w:r>
          </w:p>
        </w:tc>
        <w:tc>
          <w:tcPr>
            <w:tcW w:type="dxa" w:w="4824"/>
            <w:shd w:fill="F4F7FA"/>
            <w:tcMar>
              <w:top w:w="80" w:type="dxa"/>
              <w:start w:w="120" w:type="dxa"/>
              <w:bottom w:w="80" w:type="dxa"/>
              <w:end w:w="120" w:type="dxa"/>
            </w:tcMar>
            <w:vAlign w:val="center"/>
          </w:tcPr>
          <w:p>
            <w:pPr>
              <w:jc w:val="left"/>
            </w:pPr>
            <w:r>
              <w:rPr>
                <w:rFonts w:ascii="Calibri" w:hAnsi="Calibri" w:eastAsia="Microsoft YaHei"/>
                <w:color w:val="183247"/>
                <w:sz w:val="21"/>
              </w:rPr>
              <w:t>提出下一步研究，并回扣“为什么相信结果合理”。</w:t>
            </w:r>
          </w:p>
        </w:tc>
      </w:tr>
    </w:tbl>
    <w:p>
      <w:pPr>
        <w:pStyle w:val="Heading2"/>
      </w:pPr>
      <w:r>
        <w:t>开场时必须先说明的复现边界</w:t>
      </w:r>
    </w:p>
    <w:p>
      <w:pPr>
        <w:shd w:fill="FFF4E7"/>
        <w:pBdr>
          <w:left w:val="single" w:sz="18" w:space="8" w:color="F0A24A"/>
        </w:pBdr>
        <w:spacing w:before="120" w:after="200"/>
        <w:ind w:left="173" w:right="173"/>
      </w:pPr>
      <w:r>
        <w:rPr>
          <w:rFonts w:ascii="Calibri" w:hAnsi="Calibri" w:eastAsia="Microsoft YaHei"/>
          <w:b/>
          <w:color w:val="183247"/>
          <w:sz w:val="22"/>
        </w:rPr>
        <w:t>本项目复现 CHIEF 的 WSI 级 gated-attention MIL、器官先验融合、权重/特征转换和训练测试链路；没有重做 44 TB tile 级预训练，也不把合成小数据结果解释为临床效果。</w:t>
      </w:r>
    </w:p>
    <w:p>
      <w:r>
        <w:br w:type="page"/>
      </w:r>
    </w:p>
    <w:p>
      <w:pPr>
        <w:pStyle w:val="Heading1"/>
        <w:keepNext/>
      </w:pPr>
      <w:r>
        <w:t>第 1 页｜CHIEF：面向癌症诊断与预后的病理基础模型</w:t>
      </w:r>
    </w:p>
    <w:p>
      <w:pPr>
        <w:spacing w:after="140"/>
        <w:shd w:fill="2D76A8"/>
        <w:ind w:left="115" w:right="7200"/>
      </w:pPr>
      <w:r>
        <w:rPr>
          <w:rFonts w:ascii="Calibri" w:hAnsi="Calibri" w:eastAsia="Microsoft YaHei"/>
          <w:b/>
          <w:color w:val="FFFFFF"/>
          <w:sz w:val="19"/>
        </w:rPr>
        <w:t>建议用时  0:35</w:t>
      </w:r>
    </w:p>
    <w:p>
      <w:pPr>
        <w:keepLines/>
        <w:spacing w:after="140"/>
      </w:pPr>
      <w:r>
        <w:t>大家好，我汇报的是 CHIEF 病理基础模型的 Jittor 复现。重点不是简单把 PyTorch 代码改成 Jittor 语法，而是回答一个更严格的问题：新的实现是否在模型结构、前向输出、损失、参数更新和训练动态上与原实现一致。整个汇报分为两部分，前半部分讲 CHIEF 的方法，后半部分展示复现证据与工程实现。</w:t>
      </w:r>
    </w:p>
    <w:p>
      <w:pPr>
        <w:pStyle w:val="Heading1"/>
        <w:keepNext/>
      </w:pPr>
      <w:r>
        <w:t>第 2 页｜这次复现要回答的不是“能否运行”，而是“是否等价”</w:t>
      </w:r>
    </w:p>
    <w:p>
      <w:pPr>
        <w:spacing w:after="140"/>
        <w:shd w:fill="2D76A8"/>
        <w:ind w:left="115" w:right="7200"/>
      </w:pPr>
      <w:r>
        <w:rPr>
          <w:rFonts w:ascii="Calibri" w:hAnsi="Calibri" w:eastAsia="Microsoft YaHei"/>
          <w:b/>
          <w:color w:val="FFFFFF"/>
          <w:sz w:val="19"/>
        </w:rPr>
        <w:t>建议用时  0:45</w:t>
      </w:r>
    </w:p>
    <w:p>
      <w:pPr>
        <w:keepLines/>
        <w:spacing w:after="140"/>
      </w:pPr>
      <w:r>
        <w:t>我把复现质量分成三层。第一层是结构等价：每一层、每个张量形状和返回字段都对应官方实现。第二层是数值等价：不能只看最终准确率，而要逐项比较前向输出、交叉熵和一次参数更新。第三层是学习等价：同一份数据、初始化和超参数下，训练曲线也应接近。右侧三个数字是本项目最后得到的核心证据。</w:t>
      </w:r>
    </w:p>
    <w:p>
      <w:pPr>
        <w:pStyle w:val="Heading1"/>
        <w:keepNext/>
      </w:pPr>
      <w:r>
        <w:t>第 3 页｜一张 WSI 同时带来三个工程难题</w:t>
      </w:r>
    </w:p>
    <w:p>
      <w:pPr>
        <w:spacing w:after="140"/>
        <w:shd w:fill="2D76A8"/>
        <w:ind w:left="115" w:right="7200"/>
      </w:pPr>
      <w:r>
        <w:rPr>
          <w:rFonts w:ascii="Calibri" w:hAnsi="Calibri" w:eastAsia="Microsoft YaHei"/>
          <w:b/>
          <w:color w:val="FFFFFF"/>
          <w:sz w:val="19"/>
        </w:rPr>
        <w:t>建议用时  0:45</w:t>
      </w:r>
    </w:p>
    <w:p>
      <w:pPr>
        <w:keepLines/>
        <w:spacing w:after="140"/>
      </w:pPr>
      <w:r>
        <w:t>CHIEF 面对的第一个难点是 WSI 太大，不能把整张图直接送进普通网络，所以必须先切 patch。第二，临床数据通常只有整张切片的诊断标签，没有告诉模型病灶在哪个 patch。第三，不同切片的组织面积不同，因此每个 bag 的 patch 数不一样，同时还存在扫描仪和中心的域偏移。CHIEF 的 WSI 级模型本质上就是在这些约束下完成聚合和预测。</w:t>
      </w:r>
    </w:p>
    <w:p>
      <w:pPr>
        <w:pStyle w:val="Heading1"/>
        <w:keepNext/>
      </w:pPr>
      <w:r>
        <w:t>第 4 页｜CHIEF 的关键选择：局部表征与整片推理分开预训练</w:t>
      </w:r>
    </w:p>
    <w:p>
      <w:pPr>
        <w:spacing w:after="140"/>
        <w:shd w:fill="2D76A8"/>
        <w:ind w:left="115" w:right="7200"/>
      </w:pPr>
      <w:r>
        <w:rPr>
          <w:rFonts w:ascii="Calibri" w:hAnsi="Calibri" w:eastAsia="Microsoft YaHei"/>
          <w:b/>
          <w:color w:val="FFFFFF"/>
          <w:sz w:val="19"/>
        </w:rPr>
        <w:t>建议用时  0:50</w:t>
      </w:r>
    </w:p>
    <w:p>
      <w:pPr>
        <w:keepLines/>
        <w:spacing w:after="140"/>
      </w:pPr>
      <w:r>
        <w:t>CHIEF 不是只训练一个单阶段分类器，而是把两种能力拆开。第一阶段在 patch 层面做无监督预训练，学习细胞、腺体、间质和染色等局部形态。第二阶段再利用 slide 级标签做弱监督预训练，学习整张切片哪些区域应被关注。前者强调可迁移的局部特征，后者强调任务相关的整体模式，两者互补。</w:t>
      </w:r>
    </w:p>
    <w:p>
      <w:pPr>
        <w:keepLines/>
        <w:spacing w:after="160"/>
      </w:pPr>
      <w:r>
        <w:t>这里可以用一句过渡强调：如果只做 tile 级预训练，模型擅长识别局部形态，却未必知道怎样组合成整张切片的诊断；如果只做 WSI 级训练，又容易受弱标签和数据规模限制。CHIEF 用两个阶段分别解决这两个问题。</w:t>
      </w:r>
    </w:p>
    <w:p>
      <w:pPr>
        <w:pStyle w:val="Heading1"/>
        <w:keepNext/>
      </w:pPr>
      <w:r>
        <w:t>第 5 页｜数据规模与完整出处说明它为什么是一项基础模型工作</w:t>
      </w:r>
    </w:p>
    <w:p>
      <w:pPr>
        <w:spacing w:after="140"/>
        <w:shd w:fill="2D76A8"/>
        <w:ind w:left="115" w:right="7200"/>
      </w:pPr>
      <w:r>
        <w:rPr>
          <w:rFonts w:ascii="Calibri" w:hAnsi="Calibri" w:eastAsia="Microsoft YaHei"/>
          <w:b/>
          <w:color w:val="FFFFFF"/>
          <w:sz w:val="19"/>
        </w:rPr>
        <w:t>建议用时  0:40</w:t>
      </w:r>
    </w:p>
    <w:p>
      <w:pPr>
        <w:keepLines/>
        <w:spacing w:after="140"/>
      </w:pPr>
      <w:r>
        <w:t>这页给出完整出处和规模。论文发表于 2024 年 Nature。CHIEF 用 60,530 张 WSI、19 个解剖部位和约 44TB 图像进行开发，并在 19,491 张 WSI、32 个独立切片集合以及 24 家医院或队列上验证。这里我想强调，基础模型不是只看参数量，还要看预训练数据规模、下游任务跨度以及跨中心验证范围。</w:t>
      </w:r>
    </w:p>
    <w:p>
      <w:pPr>
        <w:pStyle w:val="Heading1"/>
        <w:keepNext/>
      </w:pPr>
      <w:r>
        <w:t>第 6 页｜CHIEF 把器官文本当作先验，而不是生成式对话</w:t>
      </w:r>
    </w:p>
    <w:p>
      <w:pPr>
        <w:spacing w:after="140"/>
        <w:shd w:fill="2D76A8"/>
        <w:ind w:left="115" w:right="7200"/>
      </w:pPr>
      <w:r>
        <w:rPr>
          <w:rFonts w:ascii="Calibri" w:hAnsi="Calibri" w:eastAsia="Microsoft YaHei"/>
          <w:b/>
          <w:color w:val="FFFFFF"/>
          <w:sz w:val="19"/>
        </w:rPr>
        <w:t>建议用时  0:55</w:t>
      </w:r>
    </w:p>
    <w:p>
      <w:pPr>
        <w:keepLines/>
        <w:spacing w:after="140"/>
      </w:pPr>
      <w:r>
        <w:t>官方总览图里有两条支路。图像支路从 WSI 裁剪 tile，经过图像编码器和聚合得到整片特征。文本支路输入的不是自由文本报告，而是器官名称，例如 kidney，通过文本编码器得到 anatomical embedding。两者融合后用于癌症检测、肿瘤来源、分子标志物和预后预测。所以 CHIEF 是带器官语义先验的弱监督视觉模型，不是一个病理对话模型。</w:t>
      </w:r>
    </w:p>
    <w:p>
      <w:pPr>
        <w:pStyle w:val="Heading1"/>
        <w:keepNext/>
      </w:pPr>
      <w:r>
        <w:t>第 7 页｜WSI 在模型里不是一张图，而是一个无序 patch 包</w:t>
      </w:r>
    </w:p>
    <w:p>
      <w:pPr>
        <w:spacing w:after="140"/>
        <w:shd w:fill="2D76A8"/>
        <w:ind w:left="115" w:right="7200"/>
      </w:pPr>
      <w:r>
        <w:rPr>
          <w:rFonts w:ascii="Calibri" w:hAnsi="Calibri" w:eastAsia="Microsoft YaHei"/>
          <w:b/>
          <w:color w:val="FFFFFF"/>
          <w:sz w:val="19"/>
        </w:rPr>
        <w:t>建议用时  0:50</w:t>
      </w:r>
    </w:p>
    <w:p>
      <w:pPr>
        <w:keepLines/>
        <w:spacing w:after="140"/>
      </w:pPr>
      <w:r>
        <w:t>在 WSI 级 CHIEF 中，模型看到的不是原始巨幅图像，而是一组 patch embedding。每个 patch 是一个实例，所有实例组成一个 bag。bag 的长度 N 随组织面积变化，顺序也没有语义，因此聚合必须对排列不敏感。模型最终输出的是整张 slide 的诊断、分型或风险。这就是多实例学习的基本设定。</w:t>
      </w:r>
    </w:p>
    <w:p>
      <w:pPr>
        <w:pStyle w:val="Heading1"/>
        <w:keepNext/>
      </w:pPr>
      <w:r>
        <w:t>第 8 页｜MIL 只知道“这张切片是什么”，不知道“哪个 patch 导致它”</w:t>
      </w:r>
    </w:p>
    <w:p>
      <w:pPr>
        <w:spacing w:after="140"/>
        <w:shd w:fill="2D76A8"/>
        <w:ind w:left="115" w:right="7200"/>
      </w:pPr>
      <w:r>
        <w:rPr>
          <w:rFonts w:ascii="Calibri" w:hAnsi="Calibri" w:eastAsia="Microsoft YaHei"/>
          <w:b/>
          <w:color w:val="FFFFFF"/>
          <w:sz w:val="19"/>
        </w:rPr>
        <w:t>建议用时  0:45</w:t>
      </w:r>
    </w:p>
    <w:p>
      <w:pPr>
        <w:keepLines/>
        <w:spacing w:after="140"/>
      </w:pPr>
      <w:r>
        <w:t>弱监督的含义是：训练时知道整张切片是不是肿瘤，但不知道每个 patch 是肿瘤还是正常。交叉熵只约束 slide 输出，注意力模块必须通过反向传播自己学会把更多权重放在能解释标签的区域。这样能省去昂贵的逐区域标注，但也意味着注意力不等同于严格的病灶分割。</w:t>
      </w:r>
    </w:p>
    <w:p>
      <w:pPr>
        <w:pStyle w:val="Heading1"/>
        <w:keepNext/>
      </w:pPr>
      <w:r>
        <w:t>第 9 页｜两条非线性分支共同决定每个 patch 的证据权重</w:t>
      </w:r>
    </w:p>
    <w:p>
      <w:pPr>
        <w:spacing w:after="140"/>
        <w:shd w:fill="2D76A8"/>
        <w:ind w:left="115" w:right="7200"/>
      </w:pPr>
      <w:r>
        <w:rPr>
          <w:rFonts w:ascii="Calibri" w:hAnsi="Calibri" w:eastAsia="Microsoft YaHei"/>
          <w:b/>
          <w:color w:val="FFFFFF"/>
          <w:sz w:val="19"/>
        </w:rPr>
        <w:t>建议用时  1:00</w:t>
      </w:r>
    </w:p>
    <w:p>
      <w:pPr>
        <w:keepLines/>
        <w:spacing w:after="140"/>
      </w:pPr>
      <w:r>
        <w:t>门控注意力有两条分支。tanh 分支产生内容表征，可以理解为这个 patch 看到了什么；sigmoid 分支输出零到一之间的门值，决定哪些维度被放行。两条分支逐元素相乘，再由线性层得到原始注意力分数。相比单一线性打分，这种门控结构有更强的非线性表达能力。</w:t>
      </w:r>
    </w:p>
    <w:p>
      <w:pPr>
        <w:keepLines/>
        <w:spacing w:after="160"/>
      </w:pPr>
      <w:r>
        <w:t>讲公式时不要逐个念符号。先指向蓝色分支说明“提取内容”，再指向橙色分支说明“控制门”，最后指出逐元素乘法让模型保留真正与当前任务相关的维度。公式的作用是把直觉写成可训练的计算。</w:t>
      </w:r>
    </w:p>
    <w:p>
      <w:pPr>
        <w:pStyle w:val="Heading1"/>
        <w:keepNext/>
      </w:pPr>
      <w:r>
        <w:t>第 10 页｜加权汇聚把 N 个 patch 压缩成一个 512 维 slide 表征</w:t>
      </w:r>
    </w:p>
    <w:p>
      <w:pPr>
        <w:spacing w:after="140"/>
        <w:shd w:fill="2D76A8"/>
        <w:ind w:left="115" w:right="7200"/>
      </w:pPr>
      <w:r>
        <w:rPr>
          <w:rFonts w:ascii="Calibri" w:hAnsi="Calibri" w:eastAsia="Microsoft YaHei"/>
          <w:b/>
          <w:color w:val="FFFFFF"/>
          <w:sz w:val="19"/>
        </w:rPr>
        <w:t>建议用时  0:50</w:t>
      </w:r>
    </w:p>
    <w:p>
      <w:pPr>
        <w:keepLines/>
        <w:spacing w:after="140"/>
      </w:pPr>
      <w:r>
        <w:t>原始分数经过 softmax 后变成归一化权重 alpha，总和为一。然后用这些权重对所有 patch 的 512 维隐藏特征做加权求和，得到一个固定长度的 slide embedding。无论 N 是几百还是几万，最终都压缩为一个向量。需要注意，高注意力说明该 patch 对当前预测贡献大，但不能直接把它当作像素级病灶边界。</w:t>
      </w:r>
    </w:p>
    <w:p>
      <w:pPr>
        <w:pStyle w:val="Heading1"/>
        <w:keepNext/>
      </w:pPr>
      <w:r>
        <w:t>第 11 页｜器官先验与视觉表征相加，缩小肿瘤来源的搜索空间</w:t>
      </w:r>
    </w:p>
    <w:p>
      <w:pPr>
        <w:spacing w:after="140"/>
        <w:shd w:fill="2D76A8"/>
        <w:ind w:left="115" w:right="7200"/>
      </w:pPr>
      <w:r>
        <w:rPr>
          <w:rFonts w:ascii="Calibri" w:hAnsi="Calibri" w:eastAsia="Microsoft YaHei"/>
          <w:b/>
          <w:color w:val="FFFFFF"/>
          <w:sz w:val="19"/>
        </w:rPr>
        <w:t>建议用时  0:50</w:t>
      </w:r>
    </w:p>
    <w:p>
      <w:pPr>
        <w:keepLines/>
        <w:spacing w:after="140"/>
      </w:pPr>
      <w:r>
        <w:t>CHIEF 还把器官名称编码成 768 维文本向量，再投影到 512 维，与视觉聚合向量相加。直觉上，知道切片来自肾、肺或结肠后，模型不必在所有肿瘤来源中盲目搜索。这里的文本是结构化器官先验，不是报告生成。它带来额外信息，同时也引入新的失效方式：器官标签错误时，先验可能误导分类器。</w:t>
      </w:r>
    </w:p>
    <w:p>
      <w:pPr>
        <w:pStyle w:val="Heading1"/>
        <w:keepNext/>
      </w:pPr>
      <w:r>
        <w:t>第 12 页｜原论文的价值在跨任务、跨中心，而不是某一个单点指标</w:t>
      </w:r>
    </w:p>
    <w:p>
      <w:pPr>
        <w:spacing w:after="140"/>
        <w:shd w:fill="2D76A8"/>
        <w:ind w:left="115" w:right="7200"/>
      </w:pPr>
      <w:r>
        <w:rPr>
          <w:rFonts w:ascii="Calibri" w:hAnsi="Calibri" w:eastAsia="Microsoft YaHei"/>
          <w:b/>
          <w:color w:val="FFFFFF"/>
          <w:sz w:val="19"/>
        </w:rPr>
        <w:t>建议用时  0:45</w:t>
      </w:r>
    </w:p>
    <w:p>
      <w:pPr>
        <w:keepLines/>
        <w:spacing w:after="140"/>
      </w:pPr>
      <w:r>
        <w:t>原论文评估的不只是一个癌症分类任务，而是癌细胞检测、肿瘤来源、常见突变、IDH 和 MSI 状态以及生存预后。论文报告最高相对提升达到 36.1%。我认为真正重要的是它在多个独立数据集和多中心数据上持续领先，而不是只挑一个最好的数字。右侧的任务跨度也是 CHIEF 被称为通用框架的依据。</w:t>
      </w:r>
    </w:p>
    <w:p>
      <w:r>
        <w:br w:type="page"/>
      </w:r>
    </w:p>
    <w:p>
      <w:pPr>
        <w:pStyle w:val="Heading1"/>
        <w:keepNext/>
      </w:pPr>
      <w:r>
        <w:t>第 13 页｜复现边界先说清：我们对齐的是 WSI 级 CHIEF 核心</w:t>
      </w:r>
    </w:p>
    <w:p>
      <w:pPr>
        <w:spacing w:after="140"/>
        <w:shd w:fill="2D76A8"/>
        <w:ind w:left="115" w:right="7200"/>
      </w:pPr>
      <w:r>
        <w:rPr>
          <w:rFonts w:ascii="Calibri" w:hAnsi="Calibri" w:eastAsia="Microsoft YaHei"/>
          <w:b/>
          <w:color w:val="FFFFFF"/>
          <w:sz w:val="19"/>
        </w:rPr>
        <w:t>建议用时  0:45</w:t>
      </w:r>
    </w:p>
    <w:p>
      <w:pPr>
        <w:keepLines/>
        <w:spacing w:after="140"/>
      </w:pPr>
      <w:r>
        <w:t>这页是复现诚信的核心。我们复现并严格对齐的是 WSI 级 CHIEF 模型，包括特征投影、门控注意力、slide 聚合、器官先验、权重与特征转换、训练测试和可视化。我们没有声称重做 44TB 全量预训练，也没有复现 24 家医院的临床验证。因此本项目证明的是核心模型的工程和数值等价性，而不是论文全部临床结论。</w:t>
      </w:r>
    </w:p>
    <w:p>
      <w:pPr>
        <w:keepLines/>
        <w:spacing w:after="160"/>
      </w:pPr>
      <w:r>
        <w:t>这也是答辩时很重要的表述边界：我复现的是论文开源代码中可独立验证的 WSI 聚合核心，不把小数据的工程对齐包装成 44TB 临床训练的替代品。把没有完成的部分主动说清，反而更能说明结果可信。</w:t>
      </w:r>
    </w:p>
    <w:p>
      <w:pPr>
        <w:pStyle w:val="Heading1"/>
        <w:keepNext/>
      </w:pPr>
      <w:r>
        <w:t>第 14 页｜加入“干净 PyTorch 参考层”，避免直接移植时失去基准</w:t>
      </w:r>
    </w:p>
    <w:p>
      <w:pPr>
        <w:spacing w:after="140"/>
        <w:shd w:fill="2D76A8"/>
        <w:ind w:left="115" w:right="7200"/>
      </w:pPr>
      <w:r>
        <w:rPr>
          <w:rFonts w:ascii="Calibri" w:hAnsi="Calibri" w:eastAsia="Microsoft YaHei"/>
          <w:b/>
          <w:color w:val="FFFFFF"/>
          <w:sz w:val="19"/>
        </w:rPr>
        <w:t>建议用时  0:50</w:t>
      </w:r>
    </w:p>
    <w:p>
      <w:pPr>
        <w:keepLines/>
        <w:spacing w:after="140"/>
      </w:pPr>
      <w:r>
        <w:t>如果直接拿官方代码和 Jittor 比较，出现差异时很难判断是官方依赖、数据处理还是移植错误。因此我加入了一个干净的 PyTorch 参考层。第一步证明它与官方 CHIEF 在四类输出上完全一致；第二步从同一组初始化权重出发，让 Jittor 对齐这个参考层。这样形成官方、参考、Jittor 三段式证据链，定位问题也更容易。</w:t>
      </w:r>
    </w:p>
    <w:p>
      <w:pPr>
        <w:pStyle w:val="Heading1"/>
        <w:keepNext/>
      </w:pPr>
      <w:r>
        <w:t>第 15 页｜层级、张量形状和输出语义保持一一对应</w:t>
      </w:r>
    </w:p>
    <w:p>
      <w:pPr>
        <w:spacing w:after="140"/>
        <w:shd w:fill="2D76A8"/>
        <w:ind w:left="115" w:right="7200"/>
      </w:pPr>
      <w:r>
        <w:rPr>
          <w:rFonts w:ascii="Calibri" w:hAnsi="Calibri" w:eastAsia="Microsoft YaHei"/>
          <w:b/>
          <w:color w:val="FFFFFF"/>
          <w:sz w:val="19"/>
        </w:rPr>
        <w:t>建议用时  0:55</w:t>
      </w:r>
    </w:p>
    <w:p>
      <w:pPr>
        <w:keepLines/>
        <w:spacing w:after="140"/>
      </w:pPr>
      <w:r>
        <w:t>Jittor 实现保持官方层级不变。输入是 N×768，经过线性层变成 N×512；门控注意力输出每个 patch 的分数，转置后是 1×N；softmax 必须沿 patch 维归一化；加权得到 1×512 的 pooled 特征；器官向量映射后相加，最后分类。移植时最容易错的是转置、softmax 轴和返回字段的语义，而不是 Linear 或 ReLU 本身。</w:t>
      </w:r>
    </w:p>
    <w:p>
      <w:pPr>
        <w:keepLines/>
        <w:spacing w:after="160"/>
      </w:pPr>
      <w:r>
        <w:t>现场讲代码时建议沿着 execute 函数从上往下走。特别提醒三个容易出错的点：raw_attention 需要转置成 1×N；softmax 的 dim 必须是 patch 维；WSI_feature 使用原始 768 维特征加权，而分类使用的是 512 维隐藏特征和器官融合结果。</w:t>
      </w:r>
    </w:p>
    <w:p>
      <w:pPr>
        <w:pStyle w:val="Heading1"/>
        <w:keepNext/>
      </w:pPr>
      <w:r>
        <w:t>第 16 页｜CHIEFJittor.execute() 严格保留官方计算顺序与返回语义</w:t>
      </w:r>
    </w:p>
    <w:p>
      <w:pPr>
        <w:spacing w:after="140"/>
        <w:shd w:fill="2D76A8"/>
        <w:ind w:left="115" w:right="7200"/>
      </w:pPr>
      <w:r>
        <w:rPr>
          <w:rFonts w:ascii="Calibri" w:hAnsi="Calibri" w:eastAsia="Microsoft YaHei"/>
          <w:b/>
          <w:color w:val="FFFFFF"/>
          <w:sz w:val="19"/>
        </w:rPr>
        <w:t>建议用时  1:00</w:t>
      </w:r>
    </w:p>
    <w:p>
      <w:pPr>
        <w:keepLines/>
        <w:spacing w:after="140"/>
      </w:pPr>
      <w:r>
        <w:t>这一页直接对应 chief_jittor/model.py 的 execute 函数。第一，注意力线性层输出是 N×1，必须转成 1×N。第二，softmax 的 dim 等于 1，表示在所有 patch 之间归一化。第三，分类使用的是 512 维 hidden 的加权结果，而 WSI_feature 使用原始 768 维特征加权，因此两个 matmul 都要保留。第四，器官文本经过映射后与 pooled 做逐元素相加，不是拼接。最后，返回字段和官方保持一致，后面的测试、可视化和对齐工具都依赖这些名称与语义。</w:t>
      </w:r>
    </w:p>
    <w:p>
      <w:pPr>
        <w:keepLines/>
        <w:spacing w:after="160"/>
      </w:pPr>
      <w:r>
        <w:t>这一页是真正的模型移植细节。先讲输入 features 的形状是 N×768，再看 fc 把它投影到 N×512。GatedAttention 输出每个 patch 的原始分数，转置和 softmax 后得到和为 1 的权重。最后同时形成分类用的 512 维 pooled 与解释用的 768 维 slide_embedding。代码不仅要算对，还要保持六个返回值的含义一致。</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打开模型实现</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chief_jittor/model.py</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沿 execute() 从输入特征、门控注意力、softmax、加权汇聚讲到六个返回值。</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核对权重映射</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chief_jittor/weights.py</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指出官方 PyTorch 层名如何映射到 Jittor 参数名。</w:t>
            </w:r>
          </w:p>
        </w:tc>
      </w:tr>
    </w:tbl>
    <w:p>
      <w:pPr>
        <w:spacing w:after="40"/>
      </w:pPr>
    </w:p>
    <w:p>
      <w:pPr>
        <w:pStyle w:val="Heading1"/>
        <w:keepNext/>
      </w:pPr>
      <w:r>
        <w:t>第 17 页｜一次训练迭代包含 bag 读取、前向、交叉熵和 optimizer.step(loss)</w:t>
      </w:r>
    </w:p>
    <w:p>
      <w:pPr>
        <w:spacing w:after="140"/>
        <w:shd w:fill="2D76A8"/>
        <w:ind w:left="115" w:right="7200"/>
      </w:pPr>
      <w:r>
        <w:rPr>
          <w:rFonts w:ascii="Calibri" w:hAnsi="Calibri" w:eastAsia="Microsoft YaHei"/>
          <w:b/>
          <w:color w:val="FFFFFF"/>
          <w:sz w:val="19"/>
        </w:rPr>
        <w:t>建议用时  1:10</w:t>
      </w:r>
    </w:p>
    <w:p>
      <w:pPr>
        <w:keepLines/>
        <w:spacing w:after="140"/>
      </w:pPr>
      <w:r>
        <w:t>Jittor 训练入口是 train.py，真正的一轮训练在 chief_jittor/engine.py 的 run_jittor_epoch。每次读取一个可变长度 bag，转为 Jittor Var，前向得到 bag logits，再用 slide 标签计算交叉熵。Jittor 与 PyTorch 写法的明显区别是 optimizer.step(loss)，它同时完成反向传播和参数更新。验证阶段使用 no_grad 和 model.eval。每一轮的 loss、Accuracy、F1、AUC 和耗时写入 JSONL；只有验证 loss 改善时才保存 chief_jittor.pkl，连续若干轮不改善就提前停止。因此演示时不能只展示最终 checkpoint，还要同时展示日志和最佳验证损失。</w:t>
      </w:r>
    </w:p>
    <w:p>
      <w:pPr>
        <w:keepLines/>
        <w:spacing w:after="160"/>
      </w:pPr>
      <w:r>
        <w:t>Jittor 与 PyTorch 最直观的训练差别是反向传播接口：PyTorch 通常写 zero_grad、backward、step；Jittor 把反向和更新合并成 optimizer.step(loss)。除此之外，训练循环仍然必须显式切换 train/eval、在验证时关闭梯度、记录每轮 JSONL，并按验证损失保存最佳 .pkl checkpoint。</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生成共同初始化</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tools/create_common_init.py --config configs/toy.yaml --output logs/toy/common_init.npz</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说明两个框架从完全相同的参数起点开始。</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训练 Jittor</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python train.py --config configs/toy.yaml --backend jittor --device cpu --init-weights logs/toy/common_init.npz</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观察逐轮 train/val loss，并说明 optimizer.step(loss)。</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打开训练产物</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logs/toy/train_jittor.jsonl ； checkpoints/toy/chief_jittor.pkl</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展示逐轮日志和最佳验证 checkpoint。</w:t>
            </w:r>
          </w:p>
        </w:tc>
      </w:tr>
    </w:tbl>
    <w:p>
      <w:pPr>
        <w:spacing w:after="40"/>
      </w:pPr>
    </w:p>
    <w:p>
      <w:pPr>
        <w:pStyle w:val="Heading1"/>
        <w:keepNext/>
      </w:pPr>
      <w:r>
        <w:t>第 18 页｜测试脚本把一次推理转成指标、逐病例预测和注意力证据</w:t>
      </w:r>
    </w:p>
    <w:p>
      <w:pPr>
        <w:spacing w:after="140"/>
        <w:shd w:fill="2D76A8"/>
        <w:ind w:left="115" w:right="7200"/>
      </w:pPr>
      <w:r>
        <w:rPr>
          <w:rFonts w:ascii="Calibri" w:hAnsi="Calibri" w:eastAsia="Microsoft YaHei"/>
          <w:b/>
          <w:color w:val="FFFFFF"/>
          <w:sz w:val="19"/>
        </w:rPr>
        <w:t>建议用时  1:10</w:t>
      </w:r>
    </w:p>
    <w:p>
      <w:pPr>
        <w:keepLines/>
        <w:spacing w:after="140"/>
      </w:pPr>
      <w:r>
        <w:t>测试入口是 test.py。它先从配置文件读取测试集路径和模型维度，再创建 CHIEFJittor 并用 model.load 载入 chief_jittor.pkl。推理必须在 model.eval 和 jt.no_grad 下执行。每张 bag 得到类别概率和注意力，最后输出三类核心证据：metrics_jittor.json 是总体指标，predictions_jittor.csv 是逐病例标签、预测和概率，attention_jittor 目录保存每张 bag 的注意力数组。录屏时建议先运行两条命令，再依次打开 checkpoint、训练日志、metrics、predictions 和 attention 可视化，形成完整闭环。</w:t>
      </w:r>
    </w:p>
    <w:p>
      <w:pPr>
        <w:keepLines/>
        <w:spacing w:after="160"/>
      </w:pPr>
      <w:r>
        <w:t>测试不是只打印一个 accuracy。脚本先加载最佳 checkpoint，在 no_grad 下逐个 bag 推理，再输出四类证据：总体指标 metrics_jittor.json、逐病例预测 predictions_jittor.csv、每个病例的注意力数组 attention_jittor/*.npz，以及可进一步绘图的概率。录屏时要实际打开这些文件。</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测试 Jittor</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test.py --config configs/toy.yaml --backend jittor --device cpu</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加载最佳 checkpoint 并完成测试。</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查看总体指标</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results/toy/metrics_jittor.json</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展示 Accuracy、Balanced Accuracy、Macro-F1、Macro-AUROC。</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查看病例级证据</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results/toy/predictions_jittor.csv ； results/toy/attention_jittor/</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打开病例预测与一个 attention NPZ，说明可审计输出。</w:t>
            </w:r>
          </w:p>
        </w:tc>
      </w:tr>
    </w:tbl>
    <w:p>
      <w:pPr>
        <w:spacing w:after="40"/>
      </w:pPr>
    </w:p>
    <w:p>
      <w:pPr>
        <w:pStyle w:val="Heading1"/>
        <w:keepNext/>
      </w:pPr>
      <w:r>
        <w:t>第 19 页｜可变长度 bag 决定训练时 batch size 通常为 1</w:t>
      </w:r>
    </w:p>
    <w:p>
      <w:pPr>
        <w:spacing w:after="140"/>
        <w:shd w:fill="2D76A8"/>
        <w:ind w:left="115" w:right="7200"/>
      </w:pPr>
      <w:r>
        <w:rPr>
          <w:rFonts w:ascii="Calibri" w:hAnsi="Calibri" w:eastAsia="Microsoft YaHei"/>
          <w:b/>
          <w:color w:val="FFFFFF"/>
          <w:sz w:val="19"/>
        </w:rPr>
        <w:t>建议用时  0:45</w:t>
      </w:r>
    </w:p>
    <w:p>
      <w:pPr>
        <w:keepLines/>
        <w:spacing w:after="140"/>
      </w:pPr>
      <w:r>
        <w:t>数据管线支持把 PyTorch 的特征和 checkpoint 转成 Jittor 直接读取的格式。由于不同 WSI 的 N 不相同，最稳妥的训练方式是 batch size 为 1，再按 bag 累积。资源有限时，我构造了 36 个训练 bag、12 个验证 bag 和 12 个测试 bag，保留 768 维输入和完整 512 维隐藏层，用小数据验证跨框架学习行为。真实特征可以通过同一接口接入。</w:t>
      </w:r>
    </w:p>
    <w:p>
      <w:pPr>
        <w:keepLines/>
        <w:spacing w:after="160"/>
      </w:pPr>
      <w:r>
        <w:t>这里开始进入数据演示。先展示 data/toy 中每个文件的形状，再打开 manifest 或配置文件，说明每个 bag 都带 case_id、label、organ 和 feature_path。强调 patient-level split 是接入真实数据时必须遵守的原则，否则同一患者跨训练和测试会造成数据泄漏。</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生成小数据</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scripts/make_toy_data.py --output data/toy --feature-dim 768 --train 36 --val 12 --test 12 --seed 2026</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展示数据目录与一个 .npy 的 [patch_count, 768] 形状。</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转换真实特征</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python tools/convert_pt_features.py --input /path/to/official_pt_features --output data/features</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说明真实数据走相同接口。</w:t>
            </w:r>
          </w:p>
        </w:tc>
      </w:tr>
    </w:tbl>
    <w:p>
      <w:pPr>
        <w:spacing w:after="40"/>
      </w:pPr>
    </w:p>
    <w:p>
      <w:pPr>
        <w:pStyle w:val="Heading1"/>
        <w:keepNext/>
      </w:pPr>
      <w:r>
        <w:t>第 20 页｜公平对齐的关键是控制变量，而不是只比较最终准确率</w:t>
      </w:r>
    </w:p>
    <w:p>
      <w:pPr>
        <w:spacing w:after="140"/>
        <w:shd w:fill="2D76A8"/>
        <w:ind w:left="115" w:right="7200"/>
      </w:pPr>
      <w:r>
        <w:rPr>
          <w:rFonts w:ascii="Calibri" w:hAnsi="Calibri" w:eastAsia="Microsoft YaHei"/>
          <w:b/>
          <w:color w:val="FFFFFF"/>
          <w:sz w:val="19"/>
        </w:rPr>
        <w:t>建议用时  0:45</w:t>
      </w:r>
    </w:p>
    <w:p>
      <w:pPr>
        <w:keepLines/>
        <w:spacing w:after="140"/>
      </w:pPr>
      <w:r>
        <w:t>对齐实验里，随机种子、数据划分、模型维度、初始权重、损失和训练轮数全部相同，唯一改变的是框架。尤其是 common_init.npz，它保证 PyTorch 和 Jittor 从同一组参数开始。如果不控制初始化，即使两个实现都正确，曲线也可能因为随机性不同而无法直接比较。因此最终准确率相同远远不够，必须把控制变量写清楚。</w:t>
      </w:r>
    </w:p>
    <w:p>
      <w:pPr>
        <w:keepLines/>
        <w:spacing w:after="160"/>
      </w:pPr>
      <w:r>
        <w:t>可以请观众注意 common_init.npz。很多复现只固定随机种子，但不同框架的随机数实现可能不同；直接保存一份共同初始权重，比单纯写 seed 更严格。</w:t>
      </w:r>
    </w:p>
    <w:p>
      <w:pPr>
        <w:pStyle w:val="Heading1"/>
        <w:keepNext/>
      </w:pPr>
      <w:r>
        <w:t>第 21 页｜干净 PyTorch 参考与官方实现逐项完全一致</w:t>
      </w:r>
    </w:p>
    <w:p>
      <w:pPr>
        <w:spacing w:after="140"/>
        <w:shd w:fill="2D76A8"/>
        <w:ind w:left="115" w:right="7200"/>
      </w:pPr>
      <w:r>
        <w:rPr>
          <w:rFonts w:ascii="Calibri" w:hAnsi="Calibri" w:eastAsia="Microsoft YaHei"/>
          <w:b/>
          <w:color w:val="FFFFFF"/>
          <w:sz w:val="19"/>
        </w:rPr>
        <w:t>建议用时  0:45</w:t>
      </w:r>
    </w:p>
    <w:p>
      <w:pPr>
        <w:keepLines/>
        <w:spacing w:after="140"/>
      </w:pPr>
      <w:r>
        <w:t>第一层证据先验证干净 PyTorch 参考是否忠实。四个关键输出 bag logits、原始注意力、WSI feature 和融合后的 anatomical feature，最大绝对误差全部为零，说明参考层与官方 CHIEF.py 在这条路径上完全一致。这样后续 Jittor 的误差不是因为我们重新解释了官方模型。</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核验官方实现</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tools/compare_official_torch.py --official /path/to/hms-dbmi-CHIEF --output logs/official_torch_equivalence.json</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打开 JSON，指出四个 max_abs 都为 0，pass=true。</w:t>
            </w:r>
          </w:p>
        </w:tc>
      </w:tr>
    </w:tbl>
    <w:p>
      <w:pPr>
        <w:spacing w:after="40"/>
      </w:pPr>
    </w:p>
    <w:p>
      <w:pPr>
        <w:pStyle w:val="Heading1"/>
        <w:keepNext/>
      </w:pPr>
      <w:r>
        <w:t>第 22 页｜前向、损失和一步更新达到 10⁻⁷–10⁻⁹ 量级</w:t>
      </w:r>
    </w:p>
    <w:p>
      <w:pPr>
        <w:spacing w:after="140"/>
        <w:shd w:fill="2D76A8"/>
        <w:ind w:left="115" w:right="7200"/>
      </w:pPr>
      <w:r>
        <w:rPr>
          <w:rFonts w:ascii="Calibri" w:hAnsi="Calibri" w:eastAsia="Microsoft YaHei"/>
          <w:b/>
          <w:color w:val="FFFFFF"/>
          <w:sz w:val="19"/>
        </w:rPr>
        <w:t>建议用时  0:50</w:t>
      </w:r>
    </w:p>
    <w:p>
      <w:pPr>
        <w:keepLines/>
        <w:spacing w:after="140"/>
      </w:pPr>
      <w:r>
        <w:t>第二层证据比较 Jittor 与 PyTorch。bag logits 和 WSI feature 的误差约为 1.19×10 的负七次方，注意力约为 7.45×10 的负九次方，融合特征约为 4.77×10 的负七次方。交叉熵完全相同，一步更新后的 fc 权重最大误差约 1.86×10 的负九次方。这符合浮点运算顺序差异的范围，alignment pass 为 true。</w:t>
      </w:r>
    </w:p>
    <w:p>
      <w:pPr>
        <w:keepLines/>
        <w:spacing w:after="160"/>
      </w:pPr>
      <w:r>
        <w:t>误差量级的判断要结合阈值。本项目默认前向和损失最大绝对误差小于 1e-5、单步参数误差小于 2e-5 即通过；实测值比阈值低一到四个数量级，因此不是勉强通过。</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运行单步对齐</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tools/align_torch_jittor.py --size small --patches 23 --output logs/alignment_small.json</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展示 forward、loss、one_step_fc_weight 三组结果。</w:t>
            </w:r>
          </w:p>
        </w:tc>
      </w:tr>
    </w:tbl>
    <w:p>
      <w:pPr>
        <w:spacing w:after="40"/>
      </w:pPr>
    </w:p>
    <w:p>
      <w:pPr>
        <w:pStyle w:val="Heading1"/>
        <w:keepNext/>
      </w:pPr>
      <w:r>
        <w:t>第 23 页｜8 轮训练中，PyTorch 与 Jittor 的损失曲线几乎重合</w:t>
      </w:r>
    </w:p>
    <w:p>
      <w:pPr>
        <w:spacing w:after="140"/>
        <w:shd w:fill="2D76A8"/>
        <w:ind w:left="115" w:right="7200"/>
      </w:pPr>
      <w:r>
        <w:rPr>
          <w:rFonts w:ascii="Calibri" w:hAnsi="Calibri" w:eastAsia="Microsoft YaHei"/>
          <w:b/>
          <w:color w:val="FFFFFF"/>
          <w:sz w:val="19"/>
        </w:rPr>
        <w:t>建议用时  0:50</w:t>
      </w:r>
    </w:p>
    <w:p>
      <w:pPr>
        <w:keepLines/>
        <w:spacing w:after="140"/>
      </w:pPr>
      <w:r>
        <w:t>第三层证据是学习动态。图中蓝色和橙色对应训练与验证，实线和虚线代表两种框架，曲线几乎完全重合。八轮内最大训练损失差约 0.000644，最大验证损失差约 0.000762，训练损失都从约 1.095 下降到 0.009。起点、下降速度和终点一致，说明梯度更新路径也被较好对齐。</w:t>
      </w:r>
    </w:p>
    <w:p>
      <w:pPr>
        <w:keepLines/>
        <w:spacing w:after="160"/>
      </w:pPr>
      <w:r>
        <w:t>讲曲线时先看第 1 轮是否从同一点出发，再看中间下降速度，最后看第 8 轮终点。三处都一致，说明不是两个模型偶然在最终指标上相同，而是整个学习过程接近。</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生成曲线</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tools/plot_logs.py --output results/toy/loss_alignment.png</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打开对齐曲线。</w:t>
            </w:r>
          </w:p>
        </w:tc>
      </w:tr>
    </w:tbl>
    <w:p>
      <w:pPr>
        <w:spacing w:after="40"/>
      </w:pPr>
    </w:p>
    <w:p>
      <w:r>
        <w:br w:type="page"/>
      </w:r>
    </w:p>
    <w:p>
      <w:pPr>
        <w:pStyle w:val="Heading1"/>
        <w:keepNext/>
      </w:pPr>
      <w:r>
        <w:t>第 24 页｜玩具数据上的 1.0 只证明管线闭环，不证明临床效果</w:t>
      </w:r>
    </w:p>
    <w:p>
      <w:pPr>
        <w:spacing w:after="140"/>
        <w:shd w:fill="2D76A8"/>
        <w:ind w:left="115" w:right="7200"/>
      </w:pPr>
      <w:r>
        <w:rPr>
          <w:rFonts w:ascii="Calibri" w:hAnsi="Calibri" w:eastAsia="Microsoft YaHei"/>
          <w:b/>
          <w:color w:val="FFFFFF"/>
          <w:sz w:val="19"/>
        </w:rPr>
        <w:t>建议用时  0:35</w:t>
      </w:r>
    </w:p>
    <w:p>
      <w:pPr>
        <w:keepLines/>
        <w:spacing w:after="140"/>
      </w:pPr>
      <w:r>
        <w:t>测试集上 PyTorch 和 Jittor 的 accuracy、balanced accuracy、macro-F1 和 macro-AUROC 都是 1.0。这个数字看起来不现实，原因是这里使用的不是医院病理数据，而是一个专门为 smoke test 构造的小型合成任务。生成器先为每个类别建立一个固定的 768 维原型，再把较强的类别信号加入大约四分之一 patch；训练、验证和测试来自同一种生成机制，而测试集总共只有 12 个 bag。我们检查过文件哈希，没有发现训练集和测试集复制同一特征文件，所以它不是直接的数据重复泄漏，但它的分布非常理想化，类别也很容易分开。这里的 1.0 只能说明两套代码都能学到同一个人工规律，训练、保存、加载、预测和指标计算形成了完整闭环。它不能说明 CHIEF 在真实医院数据上达到百分之百，更不能与 Nature 论文的多中心临床结果进行横向比较。</w:t>
      </w:r>
    </w:p>
    <w:p>
      <w:pPr>
        <w:keepLines/>
        <w:spacing w:after="160"/>
      </w:pPr>
      <w:r>
        <w:t>如果老师追问为什么四项指标都为 1.0，可以直接解释数据生成机制：每一类都有固定的 768 维类别原型，大约四分之一 patch 被加入较强类别信号，训练、验证和测试共享同一种生成分布，而且测试集只有 12 个 bag。我们已经核对 60 个特征文件的哈希，没有发现重复文件；问题不是同一文件泄漏，而是任务被刻意设计得过于容易。因此本页真正应汇报的是“两个框架在同一个人工信号上行为一致”，而不是“模型获得完美病理性能”。</w:t>
      </w:r>
    </w:p>
    <w:p>
      <w:pPr>
        <w:pStyle w:val="Heading1"/>
        <w:keepNext/>
      </w:pPr>
      <w:r>
        <w:t>第 25 页｜困难版把目标从“管线能否闭环”推进到“弱信号下是否稳定”</w:t>
      </w:r>
    </w:p>
    <w:p>
      <w:pPr>
        <w:spacing w:after="140"/>
        <w:shd w:fill="2D76A8"/>
        <w:ind w:left="115" w:right="7200"/>
      </w:pPr>
      <w:r>
        <w:rPr>
          <w:rFonts w:ascii="Calibri" w:hAnsi="Calibri" w:eastAsia="Microsoft YaHei"/>
          <w:b/>
          <w:color w:val="FFFFFF"/>
          <w:sz w:val="19"/>
        </w:rPr>
        <w:t>建议用时  0:45</w:t>
      </w:r>
    </w:p>
    <w:p>
      <w:pPr>
        <w:keepLines/>
        <w:spacing w:after="140"/>
      </w:pPr>
      <w:r>
        <w:t>为了回答为什么原来的四项指标都是 1.0，我没有直接删除原实验，而是把它保留为 smoke test，再新增一个困难版压力测试。困难版使用三个随机种子，每个种子有 180 个训练 bag、60 个验证 bag 和 90 个测试 bag；每个 bag 含 64 到 160 个 patch。真正带类别信息的 patch 比例从约四分之一降到 12%，背景噪声更强，并加入 5% 的训练标签噪声、每个 bag 的干扰向量以及测试原型偏移。这样做的目的不是模拟真实病理图像，而是构造一个不会轻易满分、能暴露随机性和域偏移影响的中间压力测试。公平性仍然通过固定数据、共同初始化和相同配置来保证。</w:t>
      </w:r>
    </w:p>
    <w:p>
      <w:pPr>
        <w:keepLines/>
        <w:spacing w:after="160"/>
      </w:pPr>
      <w:r>
        <w:t>这一页要强调，困难版不是为了声称“更像真实病理”，而是为了得到一个更有效的压力测试。它同时降低有效 patch 比例、加入标签噪声和测试域偏移，并用三个随机种子暴露结果波动；这些变量全部写入 configs/hard.yaml 和 generation.json，方便审计。</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运行困难版 PyTorch</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scripts/run_hard_experiment.py --backend torch --device cpu</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依次生成三个 seed 的数据、训练、测试并汇总。</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查看固定协议</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type configs\hard.yaml</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指出弱信号、标签噪声、测试域偏移和三个随机种子。</w:t>
            </w:r>
          </w:p>
        </w:tc>
      </w:tr>
    </w:tbl>
    <w:p>
      <w:pPr>
        <w:spacing w:after="40"/>
      </w:pPr>
    </w:p>
    <w:p>
      <w:pPr>
        <w:pStyle w:val="Heading1"/>
        <w:keepNext/>
      </w:pPr>
      <w:r>
        <w:t>第 26 页｜困难版中 Jittor 与 PyTorch 均不再满分，三种子结果仍高度接近</w:t>
      </w:r>
    </w:p>
    <w:p>
      <w:pPr>
        <w:spacing w:after="140"/>
        <w:shd w:fill="2D76A8"/>
        <w:ind w:left="115" w:right="7200"/>
      </w:pPr>
      <w:r>
        <w:rPr>
          <w:rFonts w:ascii="Calibri" w:hAnsi="Calibri" w:eastAsia="Microsoft YaHei"/>
          <w:b/>
          <w:color w:val="FFFFFF"/>
          <w:sz w:val="19"/>
        </w:rPr>
        <w:t>建议用时  0:55</w:t>
      </w:r>
    </w:p>
    <w:p>
      <w:pPr>
        <w:keepLines/>
        <w:spacing w:after="140"/>
      </w:pPr>
      <w:r>
        <w:t>困难版 PyTorch 三个随机种子的平均 Accuracy 为 0.526 ± 0.097，Macro-F1 为 0.499 ± 0.136，Macro-AUROC 为 0.771 ± 0.095。这比原来全部 1.0 更可信，因为指标随着随机种子明显波动，说明模型确实受到弱信号、标签噪声和测试域偏移影响。这里还要解释为什么 AUC 仍高于 Accuracy：AUC 看的是正样本整体能否排在负样本前面，不要求固定阈值或 argmax 已经校准正确；因此模型可能已经学会大致排序，却仍在类别边界上做错硬分类。Linux Jittor 三种子已经完成，四项指标逐种子最大绝对差为 1.19e-2，说明压力增大后跨框架结论仍一致。</w:t>
      </w:r>
    </w:p>
    <w:p>
      <w:pPr>
        <w:keepLines/>
        <w:spacing w:after="160"/>
      </w:pPr>
      <w:r>
        <w:t>困难版要同时报告两个框架。PyTorch 的 Accuracy、Macro-F1、Macro-AUROC 分别为 0.526±0.097、0.499±0.136、0.771±0.095；Jittor 分别为 0.522±0.091、0.495±0.130、0.769±0.096。成对指标最大绝对差只有 0.0119，说明任务变难以后，两套实现仍保持高度接近。AUC 高于 Accuracy 并不矛盾：AUC 衡量排序，Accuracy 依赖 argmax 和决策边界。</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运行困难版 Jittor</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scripts/run_hard_experiment.py --backend jittor --device cpu</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Linux 环境下复用同一数据与 common_init.npz。</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汇总结果</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python tools/summarize_hard_experiment.py --config configs/hard.yaml</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打开 summary.json、metrics.csv 和两张对齐图。</w:t>
            </w:r>
          </w:p>
        </w:tc>
      </w:tr>
    </w:tbl>
    <w:p>
      <w:pPr>
        <w:spacing w:after="40"/>
      </w:pPr>
    </w:p>
    <w:p>
      <w:pPr>
        <w:pStyle w:val="Heading1"/>
        <w:keepNext/>
      </w:pPr>
      <w:r>
        <w:t>第 27 页｜困难版注意力排名仍可用于检查两个框架关注的 patch</w:t>
      </w:r>
    </w:p>
    <w:p>
      <w:pPr>
        <w:spacing w:after="140"/>
        <w:shd w:fill="2D76A8"/>
        <w:ind w:left="115" w:right="7200"/>
      </w:pPr>
      <w:r>
        <w:rPr>
          <w:rFonts w:ascii="Calibri" w:hAnsi="Calibri" w:eastAsia="Microsoft YaHei"/>
          <w:b/>
          <w:color w:val="FFFFFF"/>
          <w:sz w:val="19"/>
        </w:rPr>
        <w:t>建议用时  0:35</w:t>
      </w:r>
    </w:p>
    <w:p>
      <w:pPr>
        <w:keepLines/>
        <w:spacing w:after="140"/>
      </w:pPr>
      <w:r>
        <w:t>这里展示的是困难版 seed 2026 同一个测试 bag 的注意力。左边 PyTorch，右边 Jittor。即使测试任务变难，最高权重 patch 及后续排序仍然非常接近，说明两个实现不仅最终指标相似，中间的实例选择机制也相近。当前合成数据没有真实切片坐标，所以只能画排名；真实 WSI 应把 patch 坐标还原为空间热图，再由病理专家检查模型关注区域是否符合组织学依据。</w:t>
      </w:r>
    </w:p>
    <w:p>
      <w:pPr>
        <w:pStyle w:val="Heading1"/>
        <w:keepNext/>
      </w:pPr>
      <w:r>
        <w:t>第 28 页｜Linux CI 已完成 Jittor 训练、测试、三种子实验和结果回写</w:t>
      </w:r>
    </w:p>
    <w:p>
      <w:pPr>
        <w:spacing w:after="140"/>
        <w:shd w:fill="2D76A8"/>
        <w:ind w:left="115" w:right="7200"/>
      </w:pPr>
      <w:r>
        <w:rPr>
          <w:rFonts w:ascii="Calibri" w:hAnsi="Calibri" w:eastAsia="Microsoft YaHei"/>
          <w:b/>
          <w:color w:val="FFFFFF"/>
          <w:sz w:val="19"/>
        </w:rPr>
        <w:t>建议用时  0:50</w:t>
      </w:r>
    </w:p>
    <w:p>
      <w:pPr>
        <w:keepLines/>
        <w:spacing w:after="140"/>
      </w:pPr>
      <w:r>
        <w:t>本机 Windows 缺少 Jittor 支持的编译环境，因此现场演示采用公开的 Ubuntu GitHub Actions。运行 29490678862 已经成功完成：安装 Jittor、运行三个单元测试、执行前向损失和一步更新对齐、训练和测试简单版，再执行困难版三个随机种子的 Jittor 训练与测试，最后把日志、指标、预测 CSV 和可视化自动提交回仓库。录屏时打开这个 Actions 页面，展开 Difficult synthetic three-seed Jittor experiment 步骤，展示每个 seed 的逐轮 JSON 日志和测试指标；随后回到仓库打开 results/hard/summary.json 与图片。这就是可审计的远程训练测试演示。</w:t>
      </w:r>
    </w:p>
    <w:p>
      <w:pPr>
        <w:keepLines/>
        <w:spacing w:after="160"/>
      </w:pPr>
      <w:r>
        <w:t>这一页建议停留更久，因为它同时是训练和测试演示的外部证据。Windows 阻塞发生在 Jittor 导入和本地编译链阶段，尚未进入 CHIEF 模型；Linux GitHub Actions 已完整执行数据生成、训练、测试、三种子困难实验、结果汇总和图片回写，run 29490678862 为绿色 success。</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GitHub Actions</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https://github.com/Yang-yang052/Jittor-CHIEF/actions/runs/29490678862</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打开绿色通过记录，展开训练、测试、困难版三种子和结果回写步骤。</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性能日志</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python tools/benchmark.py --backend jittor --device cpu --patches 512 --runs 30 --output logs/performance.jsonl</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强调不同机器的耗时不可做速度排名。</w:t>
            </w:r>
          </w:p>
        </w:tc>
      </w:tr>
    </w:tbl>
    <w:p>
      <w:pPr>
        <w:spacing w:after="40"/>
      </w:pPr>
    </w:p>
    <w:p>
      <w:pPr>
        <w:pStyle w:val="Heading1"/>
        <w:keepNext/>
      </w:pPr>
      <w:r>
        <w:t>第 29 页｜可靠复现需要从“单点正确”推进到“压力下仍可审计”</w:t>
      </w:r>
    </w:p>
    <w:p>
      <w:pPr>
        <w:spacing w:after="140"/>
        <w:shd w:fill="2D76A8"/>
        <w:ind w:left="115" w:right="7200"/>
      </w:pPr>
      <w:r>
        <w:rPr>
          <w:rFonts w:ascii="Calibri" w:hAnsi="Calibri" w:eastAsia="Microsoft YaHei"/>
          <w:b/>
          <w:color w:val="FFFFFF"/>
          <w:sz w:val="19"/>
        </w:rPr>
        <w:t>建议用时  1:00</w:t>
      </w:r>
    </w:p>
    <w:p>
      <w:pPr>
        <w:keepLines/>
        <w:spacing w:after="140"/>
      </w:pPr>
      <w:r>
        <w:t>我的思考是，可复现不仅需要源实现一致、浮点数值一致和环境可审计，还需要观察实现能否在更困难的条件下保持结论稳定。新增三随机种子压力测试让结果从容易任务上的单点满分，变成带均值和标准差的可审计结果；但它仍然没有回答“模型在真实病理分布上是否有效”。所以下一步最重要的仍是接入真实数据。我会优先选择一个规模可控的二分类任务，例如从 GDC 获取 TCGA-LUAD 与 TCGA-LUSC 的公开诊断切片，严格按患者划分训练、验证和测试；使用官方 CHIEF-CTransPath 提取每个 patch 的 768 维特征，再用相同初始化和超参数分别训练 PyTorch 与 Jittor。真实实验除了 AUROC、accuracy 和 macro-F1，还要报告三个随机种子的均值与标准差、置信区间、混淆矩阵、校准指标和注意力热图。这样才能把“数值正确”推进到“任务有效”，并检查域偏移、错误病例和模型置信度。</w:t>
      </w:r>
    </w:p>
    <w:p>
      <w:pPr>
        <w:keepLines/>
        <w:spacing w:after="160"/>
      </w:pPr>
      <w:r>
        <w:t>如果继续做成更强的科研复现，我会优先选择一个公开真实 WSI 数据集，先用官方 tile 特征或公开 checkpoint 建立临床指标基线，再做 Jittor 对齐。这样能把“数值正确”推进到“任务有效”，并进一步分析校准、亚组差异和域偏移。</w:t>
      </w:r>
    </w:p>
    <w:p>
      <w:pPr>
        <w:pStyle w:val="Heading1"/>
        <w:keepNext/>
      </w:pPr>
      <w:r>
        <w:t>第 30 页｜Jittor-CHIEF 的证据链从“跑通”推进到“压力下可验证”</w:t>
      </w:r>
    </w:p>
    <w:p>
      <w:pPr>
        <w:spacing w:after="140"/>
        <w:shd w:fill="2D76A8"/>
        <w:ind w:left="115" w:right="7200"/>
      </w:pPr>
      <w:r>
        <w:rPr>
          <w:rFonts w:ascii="Calibri" w:hAnsi="Calibri" w:eastAsia="Microsoft YaHei"/>
          <w:b/>
          <w:color w:val="FFFFFF"/>
          <w:sz w:val="19"/>
        </w:rPr>
        <w:t>建议用时  1:05</w:t>
      </w:r>
    </w:p>
    <w:p>
      <w:pPr>
        <w:keepLines/>
        <w:spacing w:after="140"/>
      </w:pPr>
      <w:r>
        <w:t>最后总结。算法部分讲清了 CHIEF 如何把 WSI 表示为 bag，通过门控注意力聚合 patch，并融合器官先验。实现部分直接对应 Jittor 的 model、engine、train 和 test：前向计算顺序、optimizer.step loss、最佳 checkpoint 保存、指标预测和注意力导出都可以在仓库核验。公开 Actions 已完成简单版和困难版 Jittor 训练测试。针对简单版满分问题，我增加了弱信号、噪声和域偏移下的三随机种子实验，Jittor 与 PyTorch 的均值和波动高度接近。可靠复现不是追求漂亮数字，而是让别人能复查算法、代码、训练、测试和证据链。</w:t>
      </w:r>
    </w:p>
    <w:p>
      <w:pPr>
        <w:keepLines/>
        <w:spacing w:after="160"/>
      </w:pPr>
      <w:r>
        <w:t>结束时再次回扣开头的问题：不是问代码能不能执行，也不是追求满分，而是问为什么相信结果合理。答案来自官方参考差异为零、跨框架浮点误差、训练曲线、简单版闭环、困难版三种子波动、注意力输出和 CI 环境证据共同组成的证据链。</w:t>
      </w:r>
    </w:p>
    <w:p>
      <w:pPr>
        <w:shd w:fill="EAF3F8"/>
        <w:pBdr>
          <w:left w:val="single" w:sz="18" w:space="8" w:color="2D76A8"/>
        </w:pBdr>
        <w:spacing w:before="80" w:after="80"/>
        <w:ind w:left="144"/>
      </w:pPr>
      <w:r>
        <w:rPr>
          <w:rFonts w:ascii="Calibri" w:hAnsi="Calibri" w:eastAsia="Microsoft YaHei"/>
          <w:b/>
          <w:color w:val="2D76A8"/>
          <w:sz w:val="21"/>
        </w:rPr>
        <w:t>演示动作（不逐字念）</w:t>
      </w:r>
    </w:p>
    <w:tbl>
      <w:tblPr>
        <w:tblStyle w:val="TableGrid"/>
        <w:tblW w:type="dxa" w:w="9360"/>
        <w:tblLayout w:type="fixed"/>
        <w:tblLook w:firstColumn="1" w:firstRow="1" w:lastColumn="0" w:lastRow="0" w:noHBand="0" w:noVBand="1" w:val="04A0"/>
        <w:tblInd w:w="120" w:type="dxa"/>
      </w:tblPr>
      <w:tblGrid>
        <w:gridCol w:w="1512"/>
        <w:gridCol w:w="4968"/>
        <w:gridCol w:w="2880"/>
      </w:tblGrid>
      <w:tr>
        <w:trPr>
          <w:tblHeader w:val="true"/>
        </w:trPr>
        <w:tc>
          <w:tcPr>
            <w:tcW w:type="dxa" w:w="1512"/>
            <w:shd w:fill="0F3555"/>
            <w:tcMar>
              <w:top w:w="80" w:type="dxa"/>
              <w:start w:w="120" w:type="dxa"/>
              <w:bottom w:w="80" w:type="dxa"/>
              <w:end w:w="120" w:type="dxa"/>
            </w:tcMar>
            <w:vAlign w:val="center"/>
          </w:tcPr>
          <w:p>
            <w:pPr>
              <w:jc w:val="center"/>
            </w:pPr>
            <w:r>
              <w:rPr>
                <w:rFonts w:ascii="Calibri" w:hAnsi="Calibri" w:eastAsia="Microsoft YaHei"/>
                <w:b/>
                <w:color w:val="FFFFFF"/>
                <w:sz w:val="19"/>
              </w:rPr>
              <w:t>动作</w:t>
            </w:r>
          </w:p>
        </w:tc>
        <w:tc>
          <w:tcPr>
            <w:tcW w:type="dxa" w:w="4968"/>
            <w:shd w:fill="0F3555"/>
            <w:tcMar>
              <w:top w:w="80" w:type="dxa"/>
              <w:start w:w="120" w:type="dxa"/>
              <w:bottom w:w="80" w:type="dxa"/>
              <w:end w:w="120" w:type="dxa"/>
            </w:tcMar>
            <w:vAlign w:val="center"/>
          </w:tcPr>
          <w:p>
            <w:pPr>
              <w:jc w:val="center"/>
            </w:pPr>
            <w:r>
              <w:rPr>
                <w:rFonts w:ascii="Calibri" w:hAnsi="Calibri" w:eastAsia="Microsoft YaHei"/>
                <w:b/>
                <w:color w:val="FFFFFF"/>
                <w:sz w:val="19"/>
              </w:rPr>
              <w:t>命令 / 链接</w:t>
            </w:r>
          </w:p>
        </w:tc>
        <w:tc>
          <w:tcPr>
            <w:tcW w:type="dxa" w:w="2880"/>
            <w:shd w:fill="0F3555"/>
            <w:tcMar>
              <w:top w:w="80" w:type="dxa"/>
              <w:start w:w="120" w:type="dxa"/>
              <w:bottom w:w="80" w:type="dxa"/>
              <w:end w:w="120" w:type="dxa"/>
            </w:tcMar>
            <w:vAlign w:val="center"/>
          </w:tcPr>
          <w:p>
            <w:pPr>
              <w:jc w:val="center"/>
            </w:pPr>
            <w:r>
              <w:rPr>
                <w:rFonts w:ascii="Calibri" w:hAnsi="Calibri" w:eastAsia="Microsoft YaHei"/>
                <w:b/>
                <w:color w:val="FFFFFF"/>
                <w:sz w:val="19"/>
              </w:rPr>
              <w:t>边演示边说</w:t>
            </w:r>
          </w:p>
        </w:tc>
      </w:tr>
      <w:tr>
        <w:tc>
          <w:tcPr>
            <w:tcW w:type="dxa" w:w="1512"/>
            <w:shd w:fill="F4F7FA"/>
            <w:tcMar>
              <w:top w:w="80" w:type="dxa"/>
              <w:start w:w="120" w:type="dxa"/>
              <w:bottom w:w="80" w:type="dxa"/>
              <w:end w:w="120" w:type="dxa"/>
            </w:tcMar>
            <w:vAlign w:val="center"/>
          </w:tcPr>
          <w:p>
            <w:pPr>
              <w:jc w:val="left"/>
            </w:pPr>
            <w:r>
              <w:rPr>
                <w:rFonts w:ascii="Calibri" w:hAnsi="Calibri" w:eastAsia="Microsoft YaHei"/>
                <w:color w:val="183247"/>
                <w:sz w:val="19"/>
              </w:rPr>
              <w:t>测试</w:t>
            </w:r>
          </w:p>
        </w:tc>
        <w:tc>
          <w:tcPr>
            <w:tcW w:type="dxa" w:w="4968"/>
            <w:shd w:fill="F4F7FA"/>
            <w:tcMar>
              <w:top w:w="80" w:type="dxa"/>
              <w:start w:w="120" w:type="dxa"/>
              <w:bottom w:w="80" w:type="dxa"/>
              <w:end w:w="120" w:type="dxa"/>
            </w:tcMar>
            <w:vAlign w:val="center"/>
          </w:tcPr>
          <w:p>
            <w:pPr>
              <w:jc w:val="left"/>
            </w:pPr>
            <w:r>
              <w:rPr>
                <w:rFonts w:ascii="Consolas" w:hAnsi="Consolas" w:eastAsia="Microsoft YaHei"/>
                <w:color w:val="183247"/>
                <w:sz w:val="17"/>
              </w:rPr>
              <w:t>python test.py --config configs/toy.yaml --backend jittor --device cpu</w:t>
            </w:r>
          </w:p>
        </w:tc>
        <w:tc>
          <w:tcPr>
            <w:tcW w:type="dxa" w:w="2880"/>
            <w:shd w:fill="F4F7FA"/>
            <w:tcMar>
              <w:top w:w="80" w:type="dxa"/>
              <w:start w:w="120" w:type="dxa"/>
              <w:bottom w:w="80" w:type="dxa"/>
              <w:end w:w="120" w:type="dxa"/>
            </w:tcMar>
            <w:vAlign w:val="center"/>
          </w:tcPr>
          <w:p>
            <w:pPr>
              <w:jc w:val="left"/>
            </w:pPr>
            <w:r>
              <w:rPr>
                <w:rFonts w:ascii="Calibri" w:hAnsi="Calibri" w:eastAsia="Microsoft YaHei"/>
                <w:color w:val="183247"/>
                <w:sz w:val="19"/>
              </w:rPr>
              <w:t>展示 metrics_jittor.json 和注意力文件。</w:t>
            </w:r>
          </w:p>
        </w:tc>
      </w:tr>
      <w:tr>
        <w:tc>
          <w:tcPr>
            <w:tcW w:type="dxa" w:w="1512"/>
            <w:tcMar>
              <w:top w:w="80" w:type="dxa"/>
              <w:start w:w="120" w:type="dxa"/>
              <w:bottom w:w="80" w:type="dxa"/>
              <w:end w:w="120" w:type="dxa"/>
            </w:tcMar>
            <w:vAlign w:val="center"/>
          </w:tcPr>
          <w:p>
            <w:pPr>
              <w:jc w:val="left"/>
            </w:pPr>
            <w:r>
              <w:rPr>
                <w:rFonts w:ascii="Calibri" w:hAnsi="Calibri" w:eastAsia="Microsoft YaHei"/>
                <w:color w:val="183247"/>
                <w:sz w:val="19"/>
              </w:rPr>
              <w:t>仓库首页</w:t>
            </w:r>
          </w:p>
        </w:tc>
        <w:tc>
          <w:tcPr>
            <w:tcW w:type="dxa" w:w="4968"/>
            <w:tcMar>
              <w:top w:w="80" w:type="dxa"/>
              <w:start w:w="120" w:type="dxa"/>
              <w:bottom w:w="80" w:type="dxa"/>
              <w:end w:w="120" w:type="dxa"/>
            </w:tcMar>
            <w:vAlign w:val="center"/>
          </w:tcPr>
          <w:p>
            <w:pPr>
              <w:jc w:val="left"/>
            </w:pPr>
            <w:r>
              <w:rPr>
                <w:rFonts w:ascii="Consolas" w:hAnsi="Consolas" w:eastAsia="Microsoft YaHei"/>
                <w:color w:val="183247"/>
                <w:sz w:val="17"/>
              </w:rPr>
              <w:t>https://github.com/Yang-yang052/Jittor-CHIEF</w:t>
            </w:r>
          </w:p>
        </w:tc>
        <w:tc>
          <w:tcPr>
            <w:tcW w:type="dxa" w:w="2880"/>
            <w:tcMar>
              <w:top w:w="80" w:type="dxa"/>
              <w:start w:w="120" w:type="dxa"/>
              <w:bottom w:w="80" w:type="dxa"/>
              <w:end w:w="120" w:type="dxa"/>
            </w:tcMar>
            <w:vAlign w:val="center"/>
          </w:tcPr>
          <w:p>
            <w:pPr>
              <w:jc w:val="left"/>
            </w:pPr>
            <w:r>
              <w:rPr>
                <w:rFonts w:ascii="Calibri" w:hAnsi="Calibri" w:eastAsia="Microsoft YaHei"/>
                <w:color w:val="183247"/>
                <w:sz w:val="19"/>
              </w:rPr>
              <w:t>最后展示 README 中环境、数据、训练、测试、Log 和复现边界。</w:t>
            </w:r>
          </w:p>
        </w:tc>
      </w:tr>
    </w:tbl>
    <w:p>
      <w:pPr>
        <w:spacing w:after="40"/>
      </w:pPr>
    </w:p>
    <w:p>
      <w:pPr>
        <w:pStyle w:val="Heading1"/>
      </w:pPr>
      <w:r>
        <w:t>录屏时的训练与测试演示顺序（建议 11 分钟）</w:t>
      </w:r>
    </w:p>
    <w:p>
      <w:pPr>
        <w:shd w:fill="FFF4E7"/>
        <w:pBdr>
          <w:left w:val="single" w:sz="18" w:space="8" w:color="F0A24A"/>
        </w:pBdr>
        <w:spacing w:before="120" w:after="200"/>
        <w:ind w:left="173" w:right="173"/>
      </w:pPr>
      <w:r>
        <w:rPr>
          <w:rFonts w:ascii="Calibri" w:hAnsi="Calibri" w:eastAsia="Microsoft YaHei"/>
          <w:b/>
          <w:color w:val="183247"/>
          <w:sz w:val="22"/>
        </w:rPr>
        <w:t>建议不要在 Windows 本地临时安装 Jittor。最稳妥的录制方式是：本地展示代码和已生成结果，同时打开成功的 Linux GitHub Actions 运行记录证明这些命令确实执行过。若你有 Linux、WSL2 或云服务器，再补充一次现场命令运行。</w:t>
      </w:r>
    </w:p>
    <w:tbl>
      <w:tblPr>
        <w:tblStyle w:val="TableGrid"/>
        <w:tblW w:type="dxa" w:w="9360"/>
        <w:tblLayout w:type="fixed"/>
        <w:tblLook w:firstColumn="1" w:firstRow="1" w:lastColumn="0" w:lastRow="0" w:noHBand="0" w:noVBand="1" w:val="04A0"/>
        <w:tblInd w:w="120" w:type="dxa"/>
      </w:tblPr>
      <w:tblGrid>
        <w:gridCol w:w="1152"/>
        <w:gridCol w:w="1800"/>
        <w:gridCol w:w="3240"/>
        <w:gridCol w:w="3168"/>
      </w:tblGrid>
      <w:tr>
        <w:trPr>
          <w:tblHeader w:val="true"/>
        </w:trPr>
        <w:tc>
          <w:tcPr>
            <w:tcW w:type="dxa" w:w="1152"/>
            <w:shd w:fill="0F3555"/>
            <w:tcMar>
              <w:top w:w="80" w:type="dxa"/>
              <w:start w:w="120" w:type="dxa"/>
              <w:bottom w:w="80" w:type="dxa"/>
              <w:end w:w="120" w:type="dxa"/>
            </w:tcMar>
            <w:vAlign w:val="center"/>
          </w:tcPr>
          <w:p>
            <w:pPr>
              <w:jc w:val="center"/>
            </w:pPr>
            <w:r>
              <w:rPr>
                <w:rFonts w:ascii="Calibri" w:hAnsi="Calibri" w:eastAsia="Microsoft YaHei"/>
                <w:b/>
                <w:color w:val="FFFFFF"/>
                <w:sz w:val="19"/>
              </w:rPr>
              <w:t>时间</w:t>
            </w:r>
          </w:p>
        </w:tc>
        <w:tc>
          <w:tcPr>
            <w:tcW w:type="dxa" w:w="1800"/>
            <w:shd w:fill="0F3555"/>
            <w:tcMar>
              <w:top w:w="80" w:type="dxa"/>
              <w:start w:w="120" w:type="dxa"/>
              <w:bottom w:w="80" w:type="dxa"/>
              <w:end w:w="120" w:type="dxa"/>
            </w:tcMar>
            <w:vAlign w:val="center"/>
          </w:tcPr>
          <w:p>
            <w:pPr>
              <w:jc w:val="center"/>
            </w:pPr>
            <w:r>
              <w:rPr>
                <w:rFonts w:ascii="Calibri" w:hAnsi="Calibri" w:eastAsia="Microsoft YaHei"/>
                <w:b/>
                <w:color w:val="FFFFFF"/>
                <w:sz w:val="19"/>
              </w:rPr>
              <w:t>画面与操作</w:t>
            </w:r>
          </w:p>
        </w:tc>
        <w:tc>
          <w:tcPr>
            <w:tcW w:type="dxa" w:w="3240"/>
            <w:shd w:fill="0F3555"/>
            <w:tcMar>
              <w:top w:w="80" w:type="dxa"/>
              <w:start w:w="120" w:type="dxa"/>
              <w:bottom w:w="80" w:type="dxa"/>
              <w:end w:w="120" w:type="dxa"/>
            </w:tcMar>
            <w:vAlign w:val="center"/>
          </w:tcPr>
          <w:p>
            <w:pPr>
              <w:jc w:val="center"/>
            </w:pPr>
            <w:r>
              <w:rPr>
                <w:rFonts w:ascii="Calibri" w:hAnsi="Calibri" w:eastAsia="Microsoft YaHei"/>
                <w:b/>
                <w:color w:val="FFFFFF"/>
                <w:sz w:val="19"/>
              </w:rPr>
              <w:t>重点文件 / 命令</w:t>
            </w:r>
          </w:p>
        </w:tc>
        <w:tc>
          <w:tcPr>
            <w:tcW w:type="dxa" w:w="3168"/>
            <w:shd w:fill="0F3555"/>
            <w:tcMar>
              <w:top w:w="80" w:type="dxa"/>
              <w:start w:w="120" w:type="dxa"/>
              <w:bottom w:w="80" w:type="dxa"/>
              <w:end w:w="120" w:type="dxa"/>
            </w:tcMar>
            <w:vAlign w:val="center"/>
          </w:tcPr>
          <w:p>
            <w:pPr>
              <w:jc w:val="center"/>
            </w:pPr>
            <w:r>
              <w:rPr>
                <w:rFonts w:ascii="Calibri" w:hAnsi="Calibri" w:eastAsia="Microsoft YaHei"/>
                <w:b/>
                <w:color w:val="FFFFFF"/>
                <w:sz w:val="19"/>
              </w:rPr>
              <w:t>必须说明的结论</w:t>
            </w:r>
          </w:p>
        </w:tc>
      </w:tr>
      <w:tr>
        <w:tc>
          <w:tcPr>
            <w:tcW w:type="dxa" w:w="1152"/>
            <w:shd w:fill="F4F7FA"/>
            <w:tcMar>
              <w:top w:w="80" w:type="dxa"/>
              <w:start w:w="120" w:type="dxa"/>
              <w:bottom w:w="80" w:type="dxa"/>
              <w:end w:w="120" w:type="dxa"/>
            </w:tcMar>
            <w:vAlign w:val="center"/>
          </w:tcPr>
          <w:p>
            <w:pPr>
              <w:jc w:val="center"/>
            </w:pPr>
            <w:r>
              <w:rPr>
                <w:rFonts w:ascii="Calibri" w:hAnsi="Calibri" w:eastAsia="Microsoft YaHei"/>
                <w:color w:val="183247"/>
                <w:sz w:val="18"/>
              </w:rPr>
              <w:t>0:00–1:00</w:t>
            </w:r>
          </w:p>
        </w:tc>
        <w:tc>
          <w:tcPr>
            <w:tcW w:type="dxa" w:w="1800"/>
            <w:shd w:fill="F4F7FA"/>
            <w:tcMar>
              <w:top w:w="80" w:type="dxa"/>
              <w:start w:w="120" w:type="dxa"/>
              <w:bottom w:w="80" w:type="dxa"/>
              <w:end w:w="120" w:type="dxa"/>
            </w:tcMar>
            <w:vAlign w:val="center"/>
          </w:tcPr>
          <w:p>
            <w:pPr>
              <w:jc w:val="left"/>
            </w:pPr>
            <w:r>
              <w:rPr>
                <w:rFonts w:ascii="Calibri" w:hAnsi="Calibri" w:eastAsia="Microsoft YaHei"/>
                <w:color w:val="183247"/>
                <w:sz w:val="18"/>
              </w:rPr>
              <w:t>仓库总览</w:t>
            </w:r>
          </w:p>
        </w:tc>
        <w:tc>
          <w:tcPr>
            <w:tcW w:type="dxa" w:w="3240"/>
            <w:shd w:fill="F4F7FA"/>
            <w:tcMar>
              <w:top w:w="80" w:type="dxa"/>
              <w:start w:w="120" w:type="dxa"/>
              <w:bottom w:w="80" w:type="dxa"/>
              <w:end w:w="120" w:type="dxa"/>
            </w:tcMar>
            <w:vAlign w:val="center"/>
          </w:tcPr>
          <w:p>
            <w:pPr>
              <w:jc w:val="left"/>
            </w:pPr>
            <w:r>
              <w:rPr>
                <w:rFonts w:ascii="Consolas" w:hAnsi="Consolas" w:eastAsia="Microsoft YaHei"/>
                <w:color w:val="183247"/>
                <w:sz w:val="17"/>
              </w:rPr>
              <w:t>README、chief_jittor/、train.py、test.py</w:t>
            </w:r>
          </w:p>
        </w:tc>
        <w:tc>
          <w:tcPr>
            <w:tcW w:type="dxa" w:w="3168"/>
            <w:shd w:fill="F4F7FA"/>
            <w:tcMar>
              <w:top w:w="80" w:type="dxa"/>
              <w:start w:w="120" w:type="dxa"/>
              <w:bottom w:w="80" w:type="dxa"/>
              <w:end w:w="120" w:type="dxa"/>
            </w:tcMar>
            <w:vAlign w:val="center"/>
          </w:tcPr>
          <w:p>
            <w:pPr>
              <w:jc w:val="left"/>
            </w:pPr>
            <w:r>
              <w:rPr>
                <w:rFonts w:ascii="Calibri" w:hAnsi="Calibri" w:eastAsia="Microsoft YaHei"/>
                <w:color w:val="183247"/>
                <w:sz w:val="18"/>
              </w:rPr>
              <w:t>项目不只是一个模型文件，而是数据、训练、测试、日志和可视化的完整闭环。</w:t>
            </w:r>
          </w:p>
        </w:tc>
      </w:tr>
      <w:tr>
        <w:tc>
          <w:tcPr>
            <w:tcW w:type="dxa" w:w="1152"/>
            <w:tcMar>
              <w:top w:w="80" w:type="dxa"/>
              <w:start w:w="120" w:type="dxa"/>
              <w:bottom w:w="80" w:type="dxa"/>
              <w:end w:w="120" w:type="dxa"/>
            </w:tcMar>
            <w:vAlign w:val="center"/>
          </w:tcPr>
          <w:p>
            <w:pPr>
              <w:jc w:val="center"/>
            </w:pPr>
            <w:r>
              <w:rPr>
                <w:rFonts w:ascii="Calibri" w:hAnsi="Calibri" w:eastAsia="Microsoft YaHei"/>
                <w:color w:val="183247"/>
                <w:sz w:val="18"/>
              </w:rPr>
              <w:t>1:00–3:00</w:t>
            </w:r>
          </w:p>
        </w:tc>
        <w:tc>
          <w:tcPr>
            <w:tcW w:type="dxa" w:w="1800"/>
            <w:tcMar>
              <w:top w:w="80" w:type="dxa"/>
              <w:start w:w="120" w:type="dxa"/>
              <w:bottom w:w="80" w:type="dxa"/>
              <w:end w:w="120" w:type="dxa"/>
            </w:tcMar>
            <w:vAlign w:val="center"/>
          </w:tcPr>
          <w:p>
            <w:pPr>
              <w:jc w:val="left"/>
            </w:pPr>
            <w:r>
              <w:rPr>
                <w:rFonts w:ascii="Calibri" w:hAnsi="Calibri" w:eastAsia="Microsoft YaHei"/>
                <w:color w:val="183247"/>
                <w:sz w:val="18"/>
              </w:rPr>
              <w:t>讲模型代码</w:t>
            </w:r>
          </w:p>
        </w:tc>
        <w:tc>
          <w:tcPr>
            <w:tcW w:type="dxa" w:w="3240"/>
            <w:tcMar>
              <w:top w:w="80" w:type="dxa"/>
              <w:start w:w="120" w:type="dxa"/>
              <w:bottom w:w="80" w:type="dxa"/>
              <w:end w:w="120" w:type="dxa"/>
            </w:tcMar>
            <w:vAlign w:val="center"/>
          </w:tcPr>
          <w:p>
            <w:pPr>
              <w:jc w:val="left"/>
            </w:pPr>
            <w:r>
              <w:rPr>
                <w:rFonts w:ascii="Consolas" w:hAnsi="Consolas" w:eastAsia="Microsoft YaHei"/>
                <w:color w:val="183247"/>
                <w:sz w:val="17"/>
              </w:rPr>
              <w:t>chief_jittor/model.py → execute()</w:t>
            </w:r>
          </w:p>
        </w:tc>
        <w:tc>
          <w:tcPr>
            <w:tcW w:type="dxa" w:w="3168"/>
            <w:tcMar>
              <w:top w:w="80" w:type="dxa"/>
              <w:start w:w="120" w:type="dxa"/>
              <w:bottom w:w="80" w:type="dxa"/>
              <w:end w:w="120" w:type="dxa"/>
            </w:tcMar>
            <w:vAlign w:val="center"/>
          </w:tcPr>
          <w:p>
            <w:pPr>
              <w:jc w:val="left"/>
            </w:pPr>
            <w:r>
              <w:rPr>
                <w:rFonts w:ascii="Calibri" w:hAnsi="Calibri" w:eastAsia="Microsoft YaHei"/>
                <w:color w:val="183247"/>
                <w:sz w:val="18"/>
              </w:rPr>
              <w:t>指出 N×768→N×512、门控注意力、softmax 维度、两个 slide embedding 和六个返回值。</w:t>
            </w:r>
          </w:p>
        </w:tc>
      </w:tr>
      <w:tr>
        <w:tc>
          <w:tcPr>
            <w:tcW w:type="dxa" w:w="1152"/>
            <w:shd w:fill="F4F7FA"/>
            <w:tcMar>
              <w:top w:w="80" w:type="dxa"/>
              <w:start w:w="120" w:type="dxa"/>
              <w:bottom w:w="80" w:type="dxa"/>
              <w:end w:w="120" w:type="dxa"/>
            </w:tcMar>
            <w:vAlign w:val="center"/>
          </w:tcPr>
          <w:p>
            <w:pPr>
              <w:jc w:val="center"/>
            </w:pPr>
            <w:r>
              <w:rPr>
                <w:rFonts w:ascii="Calibri" w:hAnsi="Calibri" w:eastAsia="Microsoft YaHei"/>
                <w:color w:val="183247"/>
                <w:sz w:val="18"/>
              </w:rPr>
              <w:t>3:00–5:00</w:t>
            </w:r>
          </w:p>
        </w:tc>
        <w:tc>
          <w:tcPr>
            <w:tcW w:type="dxa" w:w="1800"/>
            <w:shd w:fill="F4F7FA"/>
            <w:tcMar>
              <w:top w:w="80" w:type="dxa"/>
              <w:start w:w="120" w:type="dxa"/>
              <w:bottom w:w="80" w:type="dxa"/>
              <w:end w:w="120" w:type="dxa"/>
            </w:tcMar>
            <w:vAlign w:val="center"/>
          </w:tcPr>
          <w:p>
            <w:pPr>
              <w:jc w:val="left"/>
            </w:pPr>
            <w:r>
              <w:rPr>
                <w:rFonts w:ascii="Calibri" w:hAnsi="Calibri" w:eastAsia="Microsoft YaHei"/>
                <w:color w:val="183247"/>
                <w:sz w:val="18"/>
              </w:rPr>
              <w:t>讲训练代码并运行</w:t>
            </w:r>
          </w:p>
        </w:tc>
        <w:tc>
          <w:tcPr>
            <w:tcW w:type="dxa" w:w="3240"/>
            <w:shd w:fill="F4F7FA"/>
            <w:tcMar>
              <w:top w:w="80" w:type="dxa"/>
              <w:start w:w="120" w:type="dxa"/>
              <w:bottom w:w="80" w:type="dxa"/>
              <w:end w:w="120" w:type="dxa"/>
            </w:tcMar>
            <w:vAlign w:val="center"/>
          </w:tcPr>
          <w:p>
            <w:pPr>
              <w:jc w:val="left"/>
            </w:pPr>
            <w:r>
              <w:rPr>
                <w:rFonts w:ascii="Consolas" w:hAnsi="Consolas" w:eastAsia="Microsoft YaHei"/>
                <w:color w:val="183247"/>
                <w:sz w:val="17"/>
              </w:rPr>
              <w:t>train.py；chief_jittor/engine.py；optimizer.step(loss)</w:t>
            </w:r>
          </w:p>
        </w:tc>
        <w:tc>
          <w:tcPr>
            <w:tcW w:type="dxa" w:w="3168"/>
            <w:shd w:fill="F4F7FA"/>
            <w:tcMar>
              <w:top w:w="80" w:type="dxa"/>
              <w:start w:w="120" w:type="dxa"/>
              <w:bottom w:w="80" w:type="dxa"/>
              <w:end w:w="120" w:type="dxa"/>
            </w:tcMar>
            <w:vAlign w:val="center"/>
          </w:tcPr>
          <w:p>
            <w:pPr>
              <w:jc w:val="left"/>
            </w:pPr>
            <w:r>
              <w:rPr>
                <w:rFonts w:ascii="Calibri" w:hAnsi="Calibri" w:eastAsia="Microsoft YaHei"/>
                <w:color w:val="183247"/>
                <w:sz w:val="18"/>
              </w:rPr>
              <w:t>解释 train/eval、交叉熵、共同初始化、JSONL 日志、最佳 .pkl checkpoint 和早停。</w:t>
            </w:r>
          </w:p>
        </w:tc>
      </w:tr>
      <w:tr>
        <w:tc>
          <w:tcPr>
            <w:tcW w:type="dxa" w:w="1152"/>
            <w:tcMar>
              <w:top w:w="80" w:type="dxa"/>
              <w:start w:w="120" w:type="dxa"/>
              <w:bottom w:w="80" w:type="dxa"/>
              <w:end w:w="120" w:type="dxa"/>
            </w:tcMar>
            <w:vAlign w:val="center"/>
          </w:tcPr>
          <w:p>
            <w:pPr>
              <w:jc w:val="center"/>
            </w:pPr>
            <w:r>
              <w:rPr>
                <w:rFonts w:ascii="Calibri" w:hAnsi="Calibri" w:eastAsia="Microsoft YaHei"/>
                <w:color w:val="183247"/>
                <w:sz w:val="18"/>
              </w:rPr>
              <w:t>5:00–7:00</w:t>
            </w:r>
          </w:p>
        </w:tc>
        <w:tc>
          <w:tcPr>
            <w:tcW w:type="dxa" w:w="1800"/>
            <w:tcMar>
              <w:top w:w="80" w:type="dxa"/>
              <w:start w:w="120" w:type="dxa"/>
              <w:bottom w:w="80" w:type="dxa"/>
              <w:end w:w="120" w:type="dxa"/>
            </w:tcMar>
            <w:vAlign w:val="center"/>
          </w:tcPr>
          <w:p>
            <w:pPr>
              <w:jc w:val="left"/>
            </w:pPr>
            <w:r>
              <w:rPr>
                <w:rFonts w:ascii="Calibri" w:hAnsi="Calibri" w:eastAsia="Microsoft YaHei"/>
                <w:color w:val="183247"/>
                <w:sz w:val="18"/>
              </w:rPr>
              <w:t>运行测试并打开结果</w:t>
            </w:r>
          </w:p>
        </w:tc>
        <w:tc>
          <w:tcPr>
            <w:tcW w:type="dxa" w:w="3240"/>
            <w:tcMar>
              <w:top w:w="80" w:type="dxa"/>
              <w:start w:w="120" w:type="dxa"/>
              <w:bottom w:w="80" w:type="dxa"/>
              <w:end w:w="120" w:type="dxa"/>
            </w:tcMar>
            <w:vAlign w:val="center"/>
          </w:tcPr>
          <w:p>
            <w:pPr>
              <w:jc w:val="left"/>
            </w:pPr>
            <w:r>
              <w:rPr>
                <w:rFonts w:ascii="Consolas" w:hAnsi="Consolas" w:eastAsia="Microsoft YaHei"/>
                <w:color w:val="183247"/>
                <w:sz w:val="17"/>
              </w:rPr>
              <w:t>test.py；metrics_jittor.json；predictions_jittor.csv；attention_jittor/</w:t>
            </w:r>
          </w:p>
        </w:tc>
        <w:tc>
          <w:tcPr>
            <w:tcW w:type="dxa" w:w="3168"/>
            <w:tcMar>
              <w:top w:w="80" w:type="dxa"/>
              <w:start w:w="120" w:type="dxa"/>
              <w:bottom w:w="80" w:type="dxa"/>
              <w:end w:w="120" w:type="dxa"/>
            </w:tcMar>
            <w:vAlign w:val="center"/>
          </w:tcPr>
          <w:p>
            <w:pPr>
              <w:jc w:val="left"/>
            </w:pPr>
            <w:r>
              <w:rPr>
                <w:rFonts w:ascii="Calibri" w:hAnsi="Calibri" w:eastAsia="Microsoft YaHei"/>
                <w:color w:val="183247"/>
                <w:sz w:val="18"/>
              </w:rPr>
              <w:t>测试不是打印一个数，而是保存总体指标、病例级预测和 patch 注意力。</w:t>
            </w:r>
          </w:p>
        </w:tc>
      </w:tr>
      <w:tr>
        <w:tc>
          <w:tcPr>
            <w:tcW w:type="dxa" w:w="1152"/>
            <w:shd w:fill="F4F7FA"/>
            <w:tcMar>
              <w:top w:w="80" w:type="dxa"/>
              <w:start w:w="120" w:type="dxa"/>
              <w:bottom w:w="80" w:type="dxa"/>
              <w:end w:w="120" w:type="dxa"/>
            </w:tcMar>
            <w:vAlign w:val="center"/>
          </w:tcPr>
          <w:p>
            <w:pPr>
              <w:jc w:val="center"/>
            </w:pPr>
            <w:r>
              <w:rPr>
                <w:rFonts w:ascii="Calibri" w:hAnsi="Calibri" w:eastAsia="Microsoft YaHei"/>
                <w:color w:val="183247"/>
                <w:sz w:val="18"/>
              </w:rPr>
              <w:t>7:00–8:30</w:t>
            </w:r>
          </w:p>
        </w:tc>
        <w:tc>
          <w:tcPr>
            <w:tcW w:type="dxa" w:w="1800"/>
            <w:shd w:fill="F4F7FA"/>
            <w:tcMar>
              <w:top w:w="80" w:type="dxa"/>
              <w:start w:w="120" w:type="dxa"/>
              <w:bottom w:w="80" w:type="dxa"/>
              <w:end w:w="120" w:type="dxa"/>
            </w:tcMar>
            <w:vAlign w:val="center"/>
          </w:tcPr>
          <w:p>
            <w:pPr>
              <w:jc w:val="left"/>
            </w:pPr>
            <w:r>
              <w:rPr>
                <w:rFonts w:ascii="Calibri" w:hAnsi="Calibri" w:eastAsia="Microsoft YaHei"/>
                <w:color w:val="183247"/>
                <w:sz w:val="18"/>
              </w:rPr>
              <w:t>展示数值对齐</w:t>
            </w:r>
          </w:p>
        </w:tc>
        <w:tc>
          <w:tcPr>
            <w:tcW w:type="dxa" w:w="3240"/>
            <w:shd w:fill="F4F7FA"/>
            <w:tcMar>
              <w:top w:w="80" w:type="dxa"/>
              <w:start w:w="120" w:type="dxa"/>
              <w:bottom w:w="80" w:type="dxa"/>
              <w:end w:w="120" w:type="dxa"/>
            </w:tcMar>
            <w:vAlign w:val="center"/>
          </w:tcPr>
          <w:p>
            <w:pPr>
              <w:jc w:val="left"/>
            </w:pPr>
            <w:r>
              <w:rPr>
                <w:rFonts w:ascii="Consolas" w:hAnsi="Consolas" w:eastAsia="Microsoft YaHei"/>
                <w:color w:val="183247"/>
                <w:sz w:val="17"/>
              </w:rPr>
              <w:t>logs/alignment_small.json；results/toy/loss_alignment.png</w:t>
            </w:r>
          </w:p>
        </w:tc>
        <w:tc>
          <w:tcPr>
            <w:tcW w:type="dxa" w:w="3168"/>
            <w:shd w:fill="F4F7FA"/>
            <w:tcMar>
              <w:top w:w="80" w:type="dxa"/>
              <w:start w:w="120" w:type="dxa"/>
              <w:bottom w:w="80" w:type="dxa"/>
              <w:end w:w="120" w:type="dxa"/>
            </w:tcMar>
            <w:vAlign w:val="center"/>
          </w:tcPr>
          <w:p>
            <w:pPr>
              <w:jc w:val="left"/>
            </w:pPr>
            <w:r>
              <w:rPr>
                <w:rFonts w:ascii="Calibri" w:hAnsi="Calibri" w:eastAsia="Microsoft YaHei"/>
                <w:color w:val="183247"/>
                <w:sz w:val="18"/>
              </w:rPr>
              <w:t>前向、损失、一步更新与完整训练轨迹都接近，证据强于只比较最终准确率。</w:t>
            </w:r>
          </w:p>
        </w:tc>
      </w:tr>
      <w:tr>
        <w:tc>
          <w:tcPr>
            <w:tcW w:type="dxa" w:w="1152"/>
            <w:tcMar>
              <w:top w:w="80" w:type="dxa"/>
              <w:start w:w="120" w:type="dxa"/>
              <w:bottom w:w="80" w:type="dxa"/>
              <w:end w:w="120" w:type="dxa"/>
            </w:tcMar>
            <w:vAlign w:val="center"/>
          </w:tcPr>
          <w:p>
            <w:pPr>
              <w:jc w:val="center"/>
            </w:pPr>
            <w:r>
              <w:rPr>
                <w:rFonts w:ascii="Calibri" w:hAnsi="Calibri" w:eastAsia="Microsoft YaHei"/>
                <w:color w:val="183247"/>
                <w:sz w:val="18"/>
              </w:rPr>
              <w:t>8:30–10:00</w:t>
            </w:r>
          </w:p>
        </w:tc>
        <w:tc>
          <w:tcPr>
            <w:tcW w:type="dxa" w:w="1800"/>
            <w:tcMar>
              <w:top w:w="80" w:type="dxa"/>
              <w:start w:w="120" w:type="dxa"/>
              <w:bottom w:w="80" w:type="dxa"/>
              <w:end w:w="120" w:type="dxa"/>
            </w:tcMar>
            <w:vAlign w:val="center"/>
          </w:tcPr>
          <w:p>
            <w:pPr>
              <w:jc w:val="left"/>
            </w:pPr>
            <w:r>
              <w:rPr>
                <w:rFonts w:ascii="Calibri" w:hAnsi="Calibri" w:eastAsia="Microsoft YaHei"/>
                <w:color w:val="183247"/>
                <w:sz w:val="18"/>
              </w:rPr>
              <w:t>展示困难版实验</w:t>
            </w:r>
          </w:p>
        </w:tc>
        <w:tc>
          <w:tcPr>
            <w:tcW w:type="dxa" w:w="3240"/>
            <w:tcMar>
              <w:top w:w="80" w:type="dxa"/>
              <w:start w:w="120" w:type="dxa"/>
              <w:bottom w:w="80" w:type="dxa"/>
              <w:end w:w="120" w:type="dxa"/>
            </w:tcMar>
            <w:vAlign w:val="center"/>
          </w:tcPr>
          <w:p>
            <w:pPr>
              <w:jc w:val="left"/>
            </w:pPr>
            <w:r>
              <w:rPr>
                <w:rFonts w:ascii="Consolas" w:hAnsi="Consolas" w:eastAsia="Microsoft YaHei"/>
                <w:color w:val="183247"/>
                <w:sz w:val="17"/>
              </w:rPr>
              <w:t>results/hard/summary.json；metrics_comparison.png</w:t>
            </w:r>
          </w:p>
        </w:tc>
        <w:tc>
          <w:tcPr>
            <w:tcW w:type="dxa" w:w="3168"/>
            <w:tcMar>
              <w:top w:w="80" w:type="dxa"/>
              <w:start w:w="120" w:type="dxa"/>
              <w:bottom w:w="80" w:type="dxa"/>
              <w:end w:w="120" w:type="dxa"/>
            </w:tcMar>
            <w:vAlign w:val="center"/>
          </w:tcPr>
          <w:p>
            <w:pPr>
              <w:jc w:val="left"/>
            </w:pPr>
            <w:r>
              <w:rPr>
                <w:rFonts w:ascii="Calibri" w:hAnsi="Calibri" w:eastAsia="Microsoft YaHei"/>
                <w:color w:val="183247"/>
                <w:sz w:val="18"/>
              </w:rPr>
              <w:t>两框架都不再满分，三种子均值和波动接近，最大成对指标差 0.0119。</w:t>
            </w:r>
          </w:p>
        </w:tc>
      </w:tr>
      <w:tr>
        <w:tc>
          <w:tcPr>
            <w:tcW w:type="dxa" w:w="1152"/>
            <w:shd w:fill="F4F7FA"/>
            <w:tcMar>
              <w:top w:w="80" w:type="dxa"/>
              <w:start w:w="120" w:type="dxa"/>
              <w:bottom w:w="80" w:type="dxa"/>
              <w:end w:w="120" w:type="dxa"/>
            </w:tcMar>
            <w:vAlign w:val="center"/>
          </w:tcPr>
          <w:p>
            <w:pPr>
              <w:jc w:val="center"/>
            </w:pPr>
            <w:r>
              <w:rPr>
                <w:rFonts w:ascii="Calibri" w:hAnsi="Calibri" w:eastAsia="Microsoft YaHei"/>
                <w:color w:val="183247"/>
                <w:sz w:val="18"/>
              </w:rPr>
              <w:t>10:00–11:00</w:t>
            </w:r>
          </w:p>
        </w:tc>
        <w:tc>
          <w:tcPr>
            <w:tcW w:type="dxa" w:w="1800"/>
            <w:shd w:fill="F4F7FA"/>
            <w:tcMar>
              <w:top w:w="80" w:type="dxa"/>
              <w:start w:w="120" w:type="dxa"/>
              <w:bottom w:w="80" w:type="dxa"/>
              <w:end w:w="120" w:type="dxa"/>
            </w:tcMar>
            <w:vAlign w:val="center"/>
          </w:tcPr>
          <w:p>
            <w:pPr>
              <w:jc w:val="left"/>
            </w:pPr>
            <w:r>
              <w:rPr>
                <w:rFonts w:ascii="Calibri" w:hAnsi="Calibri" w:eastAsia="Microsoft YaHei"/>
                <w:color w:val="183247"/>
                <w:sz w:val="18"/>
              </w:rPr>
              <w:t>打开 GitHub Actions</w:t>
            </w:r>
          </w:p>
        </w:tc>
        <w:tc>
          <w:tcPr>
            <w:tcW w:type="dxa" w:w="3240"/>
            <w:shd w:fill="F4F7FA"/>
            <w:tcMar>
              <w:top w:w="80" w:type="dxa"/>
              <w:start w:w="120" w:type="dxa"/>
              <w:bottom w:w="80" w:type="dxa"/>
              <w:end w:w="120" w:type="dxa"/>
            </w:tcMar>
            <w:vAlign w:val="center"/>
          </w:tcPr>
          <w:p>
            <w:pPr>
              <w:jc w:val="left"/>
            </w:pPr>
            <w:r>
              <w:rPr>
                <w:rFonts w:ascii="Consolas" w:hAnsi="Consolas" w:eastAsia="Microsoft YaHei"/>
                <w:color w:val="183247"/>
                <w:sz w:val="17"/>
              </w:rPr>
              <w:t>actions/runs/29490678862</w:t>
            </w:r>
          </w:p>
        </w:tc>
        <w:tc>
          <w:tcPr>
            <w:tcW w:type="dxa" w:w="3168"/>
            <w:shd w:fill="F4F7FA"/>
            <w:tcMar>
              <w:top w:w="80" w:type="dxa"/>
              <w:start w:w="120" w:type="dxa"/>
              <w:bottom w:w="80" w:type="dxa"/>
              <w:end w:w="120" w:type="dxa"/>
            </w:tcMar>
            <w:vAlign w:val="center"/>
          </w:tcPr>
          <w:p>
            <w:pPr>
              <w:jc w:val="left"/>
            </w:pPr>
            <w:r>
              <w:rPr>
                <w:rFonts w:ascii="Calibri" w:hAnsi="Calibri" w:eastAsia="Microsoft YaHei"/>
                <w:color w:val="183247"/>
                <w:sz w:val="18"/>
              </w:rPr>
              <w:t>展开绿色成功步骤，证明 Linux 上确实完成 Jittor 训练、测试、三种子实验和结果回写。</w:t>
            </w:r>
          </w:p>
        </w:tc>
      </w:tr>
    </w:tbl>
    <w:p>
      <w:pPr>
        <w:pStyle w:val="Heading2"/>
      </w:pPr>
      <w:r>
        <w:t>现场运行命令</w:t>
      </w:r>
    </w:p>
    <w:p>
      <w:r>
        <w:rPr>
          <w:rFonts w:ascii="Calibri" w:hAnsi="Calibri" w:eastAsia="Microsoft YaHei"/>
          <w:b/>
          <w:color w:val="2D76A8"/>
        </w:rPr>
        <w:t>共同初始化：</w:t>
      </w:r>
      <w:r>
        <w:rPr>
          <w:rFonts w:ascii="Consolas" w:hAnsi="Consolas" w:eastAsia="Microsoft YaHei"/>
          <w:color w:val="174A74"/>
          <w:sz w:val="19"/>
        </w:rPr>
        <w:t>python tools/create_common_init.py --config configs/toy.yaml --output logs/toy/common_init.npz</w:t>
      </w:r>
    </w:p>
    <w:p>
      <w:r>
        <w:rPr>
          <w:rFonts w:ascii="Calibri" w:hAnsi="Calibri" w:eastAsia="Microsoft YaHei"/>
          <w:b/>
          <w:color w:val="2D76A8"/>
        </w:rPr>
        <w:t>Jittor 训练：</w:t>
      </w:r>
      <w:r>
        <w:rPr>
          <w:rFonts w:ascii="Consolas" w:hAnsi="Consolas" w:eastAsia="Microsoft YaHei"/>
          <w:color w:val="174A74"/>
          <w:sz w:val="19"/>
        </w:rPr>
        <w:t>python train.py --config configs/toy.yaml --backend jittor --device cpu --init-weights logs/toy/common_init.npz</w:t>
      </w:r>
    </w:p>
    <w:p>
      <w:r>
        <w:rPr>
          <w:rFonts w:ascii="Calibri" w:hAnsi="Calibri" w:eastAsia="Microsoft YaHei"/>
          <w:b/>
          <w:color w:val="2D76A8"/>
        </w:rPr>
        <w:t>Jittor 测试：</w:t>
      </w:r>
      <w:r>
        <w:rPr>
          <w:rFonts w:ascii="Consolas" w:hAnsi="Consolas" w:eastAsia="Microsoft YaHei"/>
          <w:color w:val="174A74"/>
          <w:sz w:val="19"/>
        </w:rPr>
        <w:t>python test.py --config configs/toy.yaml --backend jittor --device cpu</w:t>
      </w:r>
    </w:p>
    <w:p>
      <w:r>
        <w:rPr>
          <w:rFonts w:ascii="Calibri" w:hAnsi="Calibri" w:eastAsia="Microsoft YaHei"/>
          <w:b/>
          <w:color w:val="2D76A8"/>
        </w:rPr>
        <w:t>困难版三种子：</w:t>
      </w:r>
      <w:r>
        <w:rPr>
          <w:rFonts w:ascii="Consolas" w:hAnsi="Consolas" w:eastAsia="Microsoft YaHei"/>
          <w:color w:val="174A74"/>
          <w:sz w:val="19"/>
        </w:rPr>
        <w:t>python scripts/run_hard_experiment.py --backend jittor --device cpu</w:t>
      </w:r>
    </w:p>
    <w:p>
      <w:r>
        <w:rPr>
          <w:rFonts w:ascii="Calibri" w:hAnsi="Calibri" w:eastAsia="Microsoft YaHei"/>
          <w:b/>
          <w:color w:val="2D76A8"/>
        </w:rPr>
        <w:t>重新汇总：</w:t>
      </w:r>
      <w:r>
        <w:rPr>
          <w:rFonts w:ascii="Consolas" w:hAnsi="Consolas" w:eastAsia="Microsoft YaHei"/>
          <w:color w:val="174A74"/>
          <w:sz w:val="19"/>
        </w:rPr>
        <w:t>python tools/summarize_hard_experiment.py --config configs/hard.yaml</w:t>
      </w:r>
    </w:p>
    <w:p>
      <w:pPr>
        <w:pStyle w:val="Heading1"/>
      </w:pPr>
      <w:r>
        <w:t>结束后的答疑备用句</w:t>
      </w:r>
    </w:p>
    <w:p>
      <w:r>
        <w:rPr>
          <w:rFonts w:ascii="Calibri" w:hAnsi="Calibri" w:eastAsia="Microsoft YaHei"/>
          <w:b/>
          <w:color w:val="2D76A8"/>
        </w:rPr>
        <w:t xml:space="preserve">为什么不复现全部 44 TB？ </w:t>
      </w:r>
      <w:r>
        <w:rPr>
          <w:rFonts w:ascii="Calibri" w:hAnsi="Calibri" w:eastAsia="Microsoft YaHei"/>
          <w:color w:val="183247"/>
        </w:rPr>
        <w:t>资源和数据不可得。本项目按任务要求采用少量数据做框架对齐，并明确区分工程等价与临床复现。</w:t>
      </w:r>
    </w:p>
    <w:p>
      <w:r>
        <w:rPr>
          <w:rFonts w:ascii="Calibri" w:hAnsi="Calibri" w:eastAsia="Microsoft YaHei"/>
          <w:b/>
          <w:color w:val="2D76A8"/>
        </w:rPr>
        <w:t xml:space="preserve">1.0 指标是否有问题？ </w:t>
      </w:r>
      <w:r>
        <w:rPr>
          <w:rFonts w:ascii="Calibri" w:hAnsi="Calibri" w:eastAsia="Microsoft YaHei"/>
          <w:color w:val="183247"/>
        </w:rPr>
        <w:t>简单版来自可分的同分布小数据，只用于检查管线闭环；困难版中 PyTorch/Jittor Accuracy 分别为 0.526±0.097 和 0.522±0.091，说明压力测试能够暴露难度与随机性。</w:t>
      </w:r>
    </w:p>
    <w:p>
      <w:r>
        <w:rPr>
          <w:rFonts w:ascii="Calibri" w:hAnsi="Calibri" w:eastAsia="Microsoft YaHei"/>
          <w:b/>
          <w:color w:val="2D76A8"/>
        </w:rPr>
        <w:t xml:space="preserve">为什么 Jittor 看起来更快？ </w:t>
      </w:r>
      <w:r>
        <w:rPr>
          <w:rFonts w:ascii="Calibri" w:hAnsi="Calibri" w:eastAsia="Microsoft YaHei"/>
          <w:color w:val="183247"/>
        </w:rPr>
        <w:t>两个性能日志来自不同操作系统和不同机器，因此不能形成速度结论；当前只把它作为可运行证据。</w:t>
      </w:r>
    </w:p>
    <w:p>
      <w:r>
        <w:rPr>
          <w:rFonts w:ascii="Calibri" w:hAnsi="Calibri" w:eastAsia="Microsoft YaHei"/>
          <w:b/>
          <w:color w:val="2D76A8"/>
        </w:rPr>
        <w:t xml:space="preserve">Windows 为什么失败？ </w:t>
      </w:r>
      <w:r>
        <w:rPr>
          <w:rFonts w:ascii="Calibri" w:hAnsi="Calibri" w:eastAsia="Microsoft YaHei"/>
          <w:color w:val="183247"/>
        </w:rPr>
        <w:t>失败发生在 Jittor 导入时生成 C++ 绑定的编译阶段，尚未进入 CHIEF 模型；Linux CI 已完成权威运行。</w:t>
      </w:r>
    </w:p>
    <w:p>
      <w:r>
        <w:br w:type="page"/>
      </w:r>
    </w:p>
    <w:p>
      <w:pPr>
        <w:pStyle w:val="Heading1"/>
      </w:pPr>
      <w:r>
        <w:t>下一步真实数据测试指南（不计入 25 分钟讲稿）</w:t>
      </w:r>
    </w:p>
    <w:p>
      <w:pPr>
        <w:shd w:fill="FFF4E7"/>
        <w:pBdr>
          <w:left w:val="single" w:sz="18" w:space="8" w:color="F0A24A"/>
        </w:pBdr>
        <w:spacing w:before="120" w:after="200"/>
        <w:ind w:left="173" w:right="173"/>
      </w:pPr>
      <w:r>
        <w:rPr>
          <w:rFonts w:ascii="Calibri" w:hAnsi="Calibri" w:eastAsia="Microsoft YaHei"/>
          <w:b/>
          <w:color w:val="183247"/>
          <w:sz w:val="22"/>
        </w:rPr>
        <w:t>结论：真实数据测试不是证明“Jittor 语法移植正确”的必要条件，但它是证明“模型对真实病理任务有效”的必要条件。按照课程要求，合成小数据加跨框架对齐可以作为资源受限的基础交付；为了避免 1.0 指标引起质疑并提高汇报说服力，强烈建议至少完成一个公开真实数据的小规模实验。</w:t>
      </w:r>
    </w:p>
    <w:p>
      <w:pPr>
        <w:pStyle w:val="Heading2"/>
      </w:pPr>
      <w:r>
        <w:t>推荐的数据路线</w:t>
      </w:r>
    </w:p>
    <w:tbl>
      <w:tblPr>
        <w:tblStyle w:val="TableGrid"/>
        <w:tblW w:type="dxa" w:w="9360"/>
        <w:tblLayout w:type="fixed"/>
        <w:tblLook w:firstColumn="1" w:firstRow="1" w:lastColumn="0" w:lastRow="0" w:noHBand="0" w:noVBand="1" w:val="04A0"/>
        <w:tblInd w:w="120" w:type="dxa"/>
      </w:tblPr>
      <w:tblGrid>
        <w:gridCol w:w="1080"/>
        <w:gridCol w:w="2592"/>
        <w:gridCol w:w="2592"/>
        <w:gridCol w:w="3096"/>
      </w:tblGrid>
      <w:tr>
        <w:trPr>
          <w:tblHeader w:val="true"/>
        </w:trPr>
        <w:tc>
          <w:tcPr>
            <w:tcW w:type="dxa" w:w="1080"/>
            <w:shd w:fill="0F3555"/>
            <w:tcMar>
              <w:top w:w="80" w:type="dxa"/>
              <w:start w:w="120" w:type="dxa"/>
              <w:bottom w:w="80" w:type="dxa"/>
              <w:end w:w="120" w:type="dxa"/>
            </w:tcMar>
            <w:vAlign w:val="center"/>
          </w:tcPr>
          <w:p>
            <w:pPr>
              <w:jc w:val="center"/>
            </w:pPr>
            <w:r>
              <w:rPr>
                <w:rFonts w:ascii="Calibri" w:hAnsi="Calibri" w:eastAsia="Microsoft YaHei"/>
                <w:b/>
                <w:color w:val="FFFFFF"/>
                <w:sz w:val="19"/>
              </w:rPr>
              <w:t>路线</w:t>
            </w:r>
          </w:p>
        </w:tc>
        <w:tc>
          <w:tcPr>
            <w:tcW w:type="dxa" w:w="2592"/>
            <w:shd w:fill="0F3555"/>
            <w:tcMar>
              <w:top w:w="80" w:type="dxa"/>
              <w:start w:w="120" w:type="dxa"/>
              <w:bottom w:w="80" w:type="dxa"/>
              <w:end w:w="120" w:type="dxa"/>
            </w:tcMar>
            <w:vAlign w:val="center"/>
          </w:tcPr>
          <w:p>
            <w:pPr>
              <w:jc w:val="center"/>
            </w:pPr>
            <w:r>
              <w:rPr>
                <w:rFonts w:ascii="Calibri" w:hAnsi="Calibri" w:eastAsia="Microsoft YaHei"/>
                <w:b/>
                <w:color w:val="FFFFFF"/>
                <w:sz w:val="19"/>
              </w:rPr>
              <w:t>数据来源</w:t>
            </w:r>
          </w:p>
        </w:tc>
        <w:tc>
          <w:tcPr>
            <w:tcW w:type="dxa" w:w="2592"/>
            <w:shd w:fill="0F3555"/>
            <w:tcMar>
              <w:top w:w="80" w:type="dxa"/>
              <w:start w:w="120" w:type="dxa"/>
              <w:bottom w:w="80" w:type="dxa"/>
              <w:end w:w="120" w:type="dxa"/>
            </w:tcMar>
            <w:vAlign w:val="center"/>
          </w:tcPr>
          <w:p>
            <w:pPr>
              <w:jc w:val="center"/>
            </w:pPr>
            <w:r>
              <w:rPr>
                <w:rFonts w:ascii="Calibri" w:hAnsi="Calibri" w:eastAsia="Microsoft YaHei"/>
                <w:b/>
                <w:color w:val="FFFFFF"/>
                <w:sz w:val="19"/>
              </w:rPr>
              <w:t>优点</w:t>
            </w:r>
          </w:p>
        </w:tc>
        <w:tc>
          <w:tcPr>
            <w:tcW w:type="dxa" w:w="3096"/>
            <w:shd w:fill="0F3555"/>
            <w:tcMar>
              <w:top w:w="80" w:type="dxa"/>
              <w:start w:w="120" w:type="dxa"/>
              <w:bottom w:w="80" w:type="dxa"/>
              <w:end w:w="120" w:type="dxa"/>
            </w:tcMar>
            <w:vAlign w:val="center"/>
          </w:tcPr>
          <w:p>
            <w:pPr>
              <w:jc w:val="center"/>
            </w:pPr>
            <w:r>
              <w:rPr>
                <w:rFonts w:ascii="Calibri" w:hAnsi="Calibri" w:eastAsia="Microsoft YaHei"/>
                <w:b/>
                <w:color w:val="FFFFFF"/>
                <w:sz w:val="19"/>
              </w:rPr>
              <w:t>建议</w:t>
            </w:r>
          </w:p>
        </w:tc>
      </w:tr>
      <w:tr>
        <w:tc>
          <w:tcPr>
            <w:tcW w:type="dxa" w:w="1080"/>
            <w:shd w:fill="F4F7FA"/>
            <w:tcMar>
              <w:top w:w="80" w:type="dxa"/>
              <w:start w:w="120" w:type="dxa"/>
              <w:bottom w:w="80" w:type="dxa"/>
              <w:end w:w="120" w:type="dxa"/>
            </w:tcMar>
            <w:vAlign w:val="center"/>
          </w:tcPr>
          <w:p>
            <w:pPr>
              <w:jc w:val="center"/>
            </w:pPr>
            <w:r>
              <w:rPr>
                <w:rFonts w:ascii="Calibri" w:hAnsi="Calibri" w:eastAsia="Microsoft YaHei"/>
                <w:color w:val="183247"/>
                <w:sz w:val="18"/>
              </w:rPr>
              <w:t>A｜优先</w:t>
            </w:r>
          </w:p>
        </w:tc>
        <w:tc>
          <w:tcPr>
            <w:tcW w:type="dxa" w:w="2592"/>
            <w:shd w:fill="F4F7FA"/>
            <w:tcMar>
              <w:top w:w="80" w:type="dxa"/>
              <w:start w:w="120" w:type="dxa"/>
              <w:bottom w:w="80" w:type="dxa"/>
              <w:end w:w="120" w:type="dxa"/>
            </w:tcMar>
            <w:vAlign w:val="center"/>
          </w:tcPr>
          <w:p>
            <w:pPr>
              <w:jc w:val="left"/>
            </w:pPr>
            <w:r>
              <w:rPr>
                <w:rFonts w:ascii="Calibri" w:hAnsi="Calibri" w:eastAsia="Microsoft YaHei"/>
                <w:color w:val="183247"/>
                <w:sz w:val="18"/>
              </w:rPr>
              <w:t>CHIEF 官方仓库申请预训练权重；官方 Docker 镜像也提供模型环境。</w:t>
            </w:r>
          </w:p>
        </w:tc>
        <w:tc>
          <w:tcPr>
            <w:tcW w:type="dxa" w:w="2592"/>
            <w:shd w:fill="F4F7FA"/>
            <w:tcMar>
              <w:top w:w="80" w:type="dxa"/>
              <w:start w:w="120" w:type="dxa"/>
              <w:bottom w:w="80" w:type="dxa"/>
              <w:end w:w="120" w:type="dxa"/>
            </w:tcMar>
            <w:vAlign w:val="center"/>
          </w:tcPr>
          <w:p>
            <w:pPr>
              <w:jc w:val="left"/>
            </w:pPr>
            <w:r>
              <w:rPr>
                <w:rFonts w:ascii="Calibri" w:hAnsi="Calibri" w:eastAsia="Microsoft YaHei"/>
                <w:color w:val="183247"/>
                <w:sz w:val="18"/>
              </w:rPr>
              <w:t>最接近官方模型，减少 tile encoder 不一致造成的误差。</w:t>
            </w:r>
          </w:p>
        </w:tc>
        <w:tc>
          <w:tcPr>
            <w:tcW w:type="dxa" w:w="3096"/>
            <w:shd w:fill="F4F7FA"/>
            <w:tcMar>
              <w:top w:w="80" w:type="dxa"/>
              <w:start w:w="120" w:type="dxa"/>
              <w:bottom w:w="80" w:type="dxa"/>
              <w:end w:w="120" w:type="dxa"/>
            </w:tcMar>
            <w:vAlign w:val="center"/>
          </w:tcPr>
          <w:p>
            <w:pPr>
              <w:jc w:val="left"/>
            </w:pPr>
            <w:r>
              <w:rPr>
                <w:rFonts w:ascii="Calibri" w:hAnsi="Calibri" w:eastAsia="Microsoft YaHei"/>
                <w:color w:val="183247"/>
                <w:sz w:val="18"/>
              </w:rPr>
              <w:t>先获取 CHIEF-CTransPath 与 WSI 权重。官方 README 的独立 feature 下载入口目前不完整，不能只依赖它。</w:t>
            </w:r>
          </w:p>
        </w:tc>
      </w:tr>
      <w:tr>
        <w:tc>
          <w:tcPr>
            <w:tcW w:type="dxa" w:w="1080"/>
            <w:tcMar>
              <w:top w:w="80" w:type="dxa"/>
              <w:start w:w="120" w:type="dxa"/>
              <w:bottom w:w="80" w:type="dxa"/>
              <w:end w:w="120" w:type="dxa"/>
            </w:tcMar>
            <w:vAlign w:val="center"/>
          </w:tcPr>
          <w:p>
            <w:pPr>
              <w:jc w:val="center"/>
            </w:pPr>
            <w:r>
              <w:rPr>
                <w:rFonts w:ascii="Calibri" w:hAnsi="Calibri" w:eastAsia="Microsoft YaHei"/>
                <w:color w:val="183247"/>
                <w:sz w:val="18"/>
              </w:rPr>
              <w:t>B｜最推荐</w:t>
            </w:r>
          </w:p>
        </w:tc>
        <w:tc>
          <w:tcPr>
            <w:tcW w:type="dxa" w:w="2592"/>
            <w:tcMar>
              <w:top w:w="80" w:type="dxa"/>
              <w:start w:w="120" w:type="dxa"/>
              <w:bottom w:w="80" w:type="dxa"/>
              <w:end w:w="120" w:type="dxa"/>
            </w:tcMar>
            <w:vAlign w:val="center"/>
          </w:tcPr>
          <w:p>
            <w:pPr>
              <w:jc w:val="left"/>
            </w:pPr>
            <w:r>
              <w:rPr>
                <w:rFonts w:ascii="Calibri" w:hAnsi="Calibri" w:eastAsia="Microsoft YaHei"/>
                <w:color w:val="183247"/>
                <w:sz w:val="18"/>
              </w:rPr>
              <w:t>NCI GDC：TCGA 诊断性 WSI，例如 TCGA-LUAD 与 TCGA-LUSC。</w:t>
            </w:r>
          </w:p>
        </w:tc>
        <w:tc>
          <w:tcPr>
            <w:tcW w:type="dxa" w:w="2592"/>
            <w:tcMar>
              <w:top w:w="80" w:type="dxa"/>
              <w:start w:w="120" w:type="dxa"/>
              <w:bottom w:w="80" w:type="dxa"/>
              <w:end w:w="120" w:type="dxa"/>
            </w:tcMar>
            <w:vAlign w:val="center"/>
          </w:tcPr>
          <w:p>
            <w:pPr>
              <w:jc w:val="left"/>
            </w:pPr>
            <w:r>
              <w:rPr>
                <w:rFonts w:ascii="Calibri" w:hAnsi="Calibri" w:eastAsia="Microsoft YaHei"/>
                <w:color w:val="183247"/>
                <w:sz w:val="18"/>
              </w:rPr>
              <w:t>真实 WSI、公开来源、任务清楚；同属肺组织，可避免器官名称直接泄露类别。</w:t>
            </w:r>
          </w:p>
        </w:tc>
        <w:tc>
          <w:tcPr>
            <w:tcW w:type="dxa" w:w="3096"/>
            <w:tcMar>
              <w:top w:w="80" w:type="dxa"/>
              <w:start w:w="120" w:type="dxa"/>
              <w:bottom w:w="80" w:type="dxa"/>
              <w:end w:w="120" w:type="dxa"/>
            </w:tcMar>
            <w:vAlign w:val="center"/>
          </w:tcPr>
          <w:p>
            <w:pPr>
              <w:jc w:val="left"/>
            </w:pPr>
            <w:r>
              <w:rPr>
                <w:rFonts w:ascii="Calibri" w:hAnsi="Calibri" w:eastAsia="Microsoft YaHei"/>
                <w:color w:val="183247"/>
                <w:sz w:val="18"/>
              </w:rPr>
              <w:t>先做每类 60 张、共 120 张的小规模二分类；按患者划分 40/10/10。</w:t>
            </w:r>
          </w:p>
        </w:tc>
      </w:tr>
      <w:tr>
        <w:tc>
          <w:tcPr>
            <w:tcW w:type="dxa" w:w="1080"/>
            <w:shd w:fill="F4F7FA"/>
            <w:tcMar>
              <w:top w:w="80" w:type="dxa"/>
              <w:start w:w="120" w:type="dxa"/>
              <w:bottom w:w="80" w:type="dxa"/>
              <w:end w:w="120" w:type="dxa"/>
            </w:tcMar>
            <w:vAlign w:val="center"/>
          </w:tcPr>
          <w:p>
            <w:pPr>
              <w:jc w:val="center"/>
            </w:pPr>
            <w:r>
              <w:rPr>
                <w:rFonts w:ascii="Calibri" w:hAnsi="Calibri" w:eastAsia="Microsoft YaHei"/>
                <w:color w:val="183247"/>
                <w:sz w:val="18"/>
              </w:rPr>
              <w:t>C｜备选</w:t>
            </w:r>
          </w:p>
        </w:tc>
        <w:tc>
          <w:tcPr>
            <w:tcW w:type="dxa" w:w="2592"/>
            <w:shd w:fill="F4F7FA"/>
            <w:tcMar>
              <w:top w:w="80" w:type="dxa"/>
              <w:start w:w="120" w:type="dxa"/>
              <w:bottom w:w="80" w:type="dxa"/>
              <w:end w:w="120" w:type="dxa"/>
            </w:tcMar>
            <w:vAlign w:val="center"/>
          </w:tcPr>
          <w:p>
            <w:pPr>
              <w:jc w:val="left"/>
            </w:pPr>
            <w:r>
              <w:rPr>
                <w:rFonts w:ascii="Calibri" w:hAnsi="Calibri" w:eastAsia="Microsoft YaHei"/>
                <w:color w:val="183247"/>
                <w:sz w:val="18"/>
              </w:rPr>
              <w:t>CAMELYON16/17：乳腺癌淋巴结转移 WSI。</w:t>
            </w:r>
          </w:p>
        </w:tc>
        <w:tc>
          <w:tcPr>
            <w:tcW w:type="dxa" w:w="2592"/>
            <w:shd w:fill="F4F7FA"/>
            <w:tcMar>
              <w:top w:w="80" w:type="dxa"/>
              <w:start w:w="120" w:type="dxa"/>
              <w:bottom w:w="80" w:type="dxa"/>
              <w:end w:w="120" w:type="dxa"/>
            </w:tcMar>
            <w:vAlign w:val="center"/>
          </w:tcPr>
          <w:p>
            <w:pPr>
              <w:jc w:val="left"/>
            </w:pPr>
            <w:r>
              <w:rPr>
                <w:rFonts w:ascii="Calibri" w:hAnsi="Calibri" w:eastAsia="Microsoft YaHei"/>
                <w:color w:val="183247"/>
                <w:sz w:val="18"/>
              </w:rPr>
              <w:t>开放数据、有专家标注和公认基准，适合二分类与注意力热图。</w:t>
            </w:r>
          </w:p>
        </w:tc>
        <w:tc>
          <w:tcPr>
            <w:tcW w:type="dxa" w:w="3096"/>
            <w:shd w:fill="F4F7FA"/>
            <w:tcMar>
              <w:top w:w="80" w:type="dxa"/>
              <w:start w:w="120" w:type="dxa"/>
              <w:bottom w:w="80" w:type="dxa"/>
              <w:end w:w="120" w:type="dxa"/>
            </w:tcMar>
            <w:vAlign w:val="center"/>
          </w:tcPr>
          <w:p>
            <w:pPr>
              <w:jc w:val="left"/>
            </w:pPr>
            <w:r>
              <w:rPr>
                <w:rFonts w:ascii="Calibri" w:hAnsi="Calibri" w:eastAsia="Microsoft YaHei"/>
                <w:color w:val="183247"/>
                <w:sz w:val="18"/>
              </w:rPr>
              <w:t>数据体积较大；若只做课程复现，可先取训练集子集并明确标为 pilot。</w:t>
            </w:r>
          </w:p>
        </w:tc>
      </w:tr>
    </w:tbl>
    <w:p>
      <w:pPr>
        <w:pStyle w:val="Heading2"/>
      </w:pPr>
      <w:r>
        <w:t>建议你实际执行的最小真实实验</w:t>
      </w:r>
    </w:p>
    <w:p>
      <w:pPr>
        <w:spacing w:after="100"/>
      </w:pPr>
      <w:r>
        <w:rPr>
          <w:rFonts w:ascii="Calibri" w:hAnsi="Calibri" w:eastAsia="Microsoft YaHei"/>
          <w:b/>
          <w:color w:val="2D76A8"/>
        </w:rPr>
        <w:t xml:space="preserve">1｜获取权重  </w:t>
      </w:r>
      <w:r>
        <w:rPr>
          <w:rFonts w:ascii="Calibri" w:hAnsi="Calibri" w:eastAsia="Microsoft YaHei"/>
          <w:color w:val="183247"/>
        </w:rPr>
        <w:t>从 CHIEF 官方 GitHub README 进入 Google Drive 申请模型权重，或使用官方 Docker 镜像。需要 CHIEF-CTransPath tile encoder；若加载 WSI 预训练权重，还需要 CHIEF_pretraining 权重。</w:t>
      </w:r>
    </w:p>
    <w:p>
      <w:pPr>
        <w:spacing w:after="100"/>
      </w:pPr>
      <w:r>
        <w:rPr>
          <w:rFonts w:ascii="Calibri" w:hAnsi="Calibri" w:eastAsia="Microsoft YaHei"/>
          <w:b/>
          <w:color w:val="2D76A8"/>
        </w:rPr>
        <w:t xml:space="preserve">2｜选择病例  </w:t>
      </w:r>
      <w:r>
        <w:rPr>
          <w:rFonts w:ascii="Calibri" w:hAnsi="Calibri" w:eastAsia="Microsoft YaHei"/>
          <w:color w:val="183247"/>
        </w:rPr>
        <w:t>在 GDC Data Portal 选择 TCGA-LUAD 和 TCGA-LUSC，过滤 Data Type=Slide Image、Data Format=SVS、Access=Open、Primary Tumor。先查看总文件大小，再下载 manifest、sample sheet 与 clinical 表。</w:t>
      </w:r>
    </w:p>
    <w:p>
      <w:pPr>
        <w:spacing w:after="100"/>
      </w:pPr>
      <w:r>
        <w:rPr>
          <w:rFonts w:ascii="Calibri" w:hAnsi="Calibri" w:eastAsia="Microsoft YaHei"/>
          <w:b/>
          <w:color w:val="2D76A8"/>
        </w:rPr>
        <w:t xml:space="preserve">3｜下载 WSI  </w:t>
      </w:r>
      <w:r>
        <w:rPr>
          <w:rFonts w:ascii="Calibri" w:hAnsi="Calibri" w:eastAsia="Microsoft YaHei"/>
          <w:color w:val="183247"/>
        </w:rPr>
        <w:t>使用 GDC Data Transfer Tool 按 manifest 下载，支持断点续传。建议先下载每类 5 张验证文件能否读取，再扩展到每类 60 张；WSI 总量可能达到数十到数百 GB。</w:t>
      </w:r>
    </w:p>
    <w:p>
      <w:pPr>
        <w:spacing w:after="100"/>
      </w:pPr>
      <w:r>
        <w:rPr>
          <w:rFonts w:ascii="Calibri" w:hAnsi="Calibri" w:eastAsia="Microsoft YaHei"/>
          <w:b/>
          <w:color w:val="2D76A8"/>
        </w:rPr>
        <w:t xml:space="preserve">4｜提取特征  </w:t>
      </w:r>
      <w:r>
        <w:rPr>
          <w:rFonts w:ascii="Calibri" w:hAnsi="Calibri" w:eastAsia="Microsoft YaHei"/>
          <w:color w:val="183247"/>
        </w:rPr>
        <w:t>对每张 WSI 做组织区域检测，只在组织区域裁 patch；严格复用 CHIEF 的倍率、patch 尺寸、缩放与归一化设置，使用 CHIEF-CTransPath 输出 [N,768]，同时保存 patch 坐标。</w:t>
      </w:r>
    </w:p>
    <w:p>
      <w:pPr>
        <w:spacing w:after="100"/>
      </w:pPr>
      <w:r>
        <w:rPr>
          <w:rFonts w:ascii="Calibri" w:hAnsi="Calibri" w:eastAsia="Microsoft YaHei"/>
          <w:b/>
          <w:color w:val="2D76A8"/>
        </w:rPr>
        <w:t xml:space="preserve">5｜患者级划分  </w:t>
      </w:r>
      <w:r>
        <w:rPr>
          <w:rFonts w:ascii="Calibri" w:hAnsi="Calibri" w:eastAsia="Microsoft YaHei"/>
          <w:color w:val="183247"/>
        </w:rPr>
        <w:t>每类 40 张训练、10 张验证、10 张测试；同一患者的多张切片只能进入一个集合。LUAD 与 LUSC 都属于 lung，若启用官方器官映射，organ index 为 6；也建议同时报告关闭器官分支的结果。</w:t>
      </w:r>
    </w:p>
    <w:p>
      <w:pPr>
        <w:spacing w:after="100"/>
      </w:pPr>
      <w:r>
        <w:rPr>
          <w:rFonts w:ascii="Calibri" w:hAnsi="Calibri" w:eastAsia="Microsoft YaHei"/>
          <w:b/>
          <w:color w:val="2D76A8"/>
        </w:rPr>
        <w:t xml:space="preserve">6｜双框架训练  </w:t>
      </w:r>
      <w:r>
        <w:rPr>
          <w:rFonts w:ascii="Calibri" w:hAnsi="Calibri" w:eastAsia="Microsoft YaHei"/>
          <w:color w:val="183247"/>
        </w:rPr>
        <w:t>PyTorch 和 Jittor 使用同一份 .npy 特征、同一 common_init、同一患者划分、学习率、epoch 与早停规则。先冻结 tile encoder，只训练或微调 WSI 聚合器与二分类头。</w:t>
      </w:r>
    </w:p>
    <w:p>
      <w:pPr>
        <w:spacing w:after="100"/>
      </w:pPr>
      <w:r>
        <w:rPr>
          <w:rFonts w:ascii="Calibri" w:hAnsi="Calibri" w:eastAsia="Microsoft YaHei"/>
          <w:b/>
          <w:color w:val="2D76A8"/>
        </w:rPr>
        <w:t xml:space="preserve">7｜报告结果  </w:t>
      </w:r>
      <w:r>
        <w:rPr>
          <w:rFonts w:ascii="Calibri" w:hAnsi="Calibri" w:eastAsia="Microsoft YaHei"/>
          <w:color w:val="183247"/>
        </w:rPr>
        <w:t>至少运行 3 个随机种子，报告 AUROC、accuracy、balanced accuracy、macro-F1、敏感度、特异度及均值±标准差；补充混淆矩阵、95% 置信区间、Brier/ECE 校准指标和错误病例。</w:t>
      </w:r>
    </w:p>
    <w:p>
      <w:pPr>
        <w:spacing w:after="100"/>
      </w:pPr>
      <w:r>
        <w:rPr>
          <w:rFonts w:ascii="Calibri" w:hAnsi="Calibri" w:eastAsia="Microsoft YaHei"/>
          <w:b/>
          <w:color w:val="2D76A8"/>
        </w:rPr>
        <w:t xml:space="preserve">8｜检查注意力  </w:t>
      </w:r>
      <w:r>
        <w:rPr>
          <w:rFonts w:ascii="Calibri" w:hAnsi="Calibri" w:eastAsia="Microsoft YaHei"/>
          <w:color w:val="183247"/>
        </w:rPr>
        <w:t>把注意力权重按 patch 坐标还原为 WSI 热图。重点观察高注意力区域是否落在肿瘤组织，而不是空白、折叠、染色沉积或扫描伪影。</w:t>
      </w:r>
    </w:p>
    <w:p>
      <w:pPr>
        <w:pStyle w:val="Heading2"/>
      </w:pPr>
      <w:r>
        <w:t>数据获取链接</w:t>
      </w:r>
    </w:p>
    <w:p>
      <w:pPr>
        <w:spacing w:after="80"/>
      </w:pPr>
      <w:r>
        <w:rPr>
          <w:rFonts w:ascii="Calibri" w:hAnsi="Calibri" w:eastAsia="Microsoft YaHei"/>
          <w:b/>
          <w:color w:val="2D76A8"/>
        </w:rPr>
        <w:t>CHIEF 官方代码与权重说明：</w:t>
      </w:r>
      <w:r>
        <w:rPr>
          <w:rFonts w:ascii="Calibri" w:hAnsi="Calibri" w:eastAsia="Microsoft YaHei"/>
          <w:color w:val="174A74"/>
        </w:rPr>
        <w:t>https://github.com/hms-dbmi/CHIEF</w:t>
      </w:r>
    </w:p>
    <w:p>
      <w:pPr>
        <w:spacing w:after="80"/>
      </w:pPr>
      <w:r>
        <w:rPr>
          <w:rFonts w:ascii="Calibri" w:hAnsi="Calibri" w:eastAsia="Microsoft YaHei"/>
          <w:b/>
          <w:color w:val="2D76A8"/>
        </w:rPr>
        <w:t>CHIEF 官方模型权重 Google Drive：</w:t>
      </w:r>
      <w:r>
        <w:rPr>
          <w:rFonts w:ascii="Calibri" w:hAnsi="Calibri" w:eastAsia="Microsoft YaHei"/>
          <w:color w:val="174A74"/>
        </w:rPr>
        <w:t>https://drive.google.com/drive/folders/1uRv9A1HuTW5m_pJoyMzdN31bE1i-tDaV?usp=sharing</w:t>
      </w:r>
    </w:p>
    <w:p>
      <w:pPr>
        <w:spacing w:after="80"/>
      </w:pPr>
      <w:r>
        <w:rPr>
          <w:rFonts w:ascii="Calibri" w:hAnsi="Calibri" w:eastAsia="Microsoft YaHei"/>
          <w:b/>
          <w:color w:val="2D76A8"/>
        </w:rPr>
        <w:t>CHIEF 官方 Docker 镜像：</w:t>
      </w:r>
      <w:r>
        <w:rPr>
          <w:rFonts w:ascii="Calibri" w:hAnsi="Calibri" w:eastAsia="Microsoft YaHei"/>
          <w:color w:val="174A74"/>
        </w:rPr>
        <w:t>https://hub.docker.com/r/chiefcontainer/chief/</w:t>
      </w:r>
    </w:p>
    <w:p>
      <w:pPr>
        <w:spacing w:after="80"/>
      </w:pPr>
      <w:r>
        <w:rPr>
          <w:rFonts w:ascii="Calibri" w:hAnsi="Calibri" w:eastAsia="Microsoft YaHei"/>
          <w:b/>
          <w:color w:val="2D76A8"/>
        </w:rPr>
        <w:t>NCI GDC Data Portal：</w:t>
      </w:r>
      <w:r>
        <w:rPr>
          <w:rFonts w:ascii="Calibri" w:hAnsi="Calibri" w:eastAsia="Microsoft YaHei"/>
          <w:color w:val="174A74"/>
        </w:rPr>
        <w:t>https://portal.gdc.cancer.gov/</w:t>
      </w:r>
    </w:p>
    <w:p>
      <w:pPr>
        <w:spacing w:after="80"/>
      </w:pPr>
      <w:r>
        <w:rPr>
          <w:rFonts w:ascii="Calibri" w:hAnsi="Calibri" w:eastAsia="Microsoft YaHei"/>
          <w:b/>
          <w:color w:val="2D76A8"/>
        </w:rPr>
        <w:t>GDC Data Transfer Tool：</w:t>
      </w:r>
      <w:r>
        <w:rPr>
          <w:rFonts w:ascii="Calibri" w:hAnsi="Calibri" w:eastAsia="Microsoft YaHei"/>
          <w:color w:val="174A74"/>
        </w:rPr>
        <w:t>https://gdc.cancer.gov/access-data/gdc-data-transfer-tool</w:t>
      </w:r>
    </w:p>
    <w:p>
      <w:pPr>
        <w:spacing w:after="80"/>
      </w:pPr>
      <w:r>
        <w:rPr>
          <w:rFonts w:ascii="Calibri" w:hAnsi="Calibri" w:eastAsia="Microsoft YaHei"/>
          <w:b/>
          <w:color w:val="2D76A8"/>
        </w:rPr>
        <w:t>GDC manifest 下载说明：</w:t>
      </w:r>
      <w:r>
        <w:rPr>
          <w:rFonts w:ascii="Calibri" w:hAnsi="Calibri" w:eastAsia="Microsoft YaHei"/>
          <w:color w:val="174A74"/>
        </w:rPr>
        <w:t>https://docs.gdc.cancer.gov/Data_Transfer_Tool/Users_Guide/Data_Download_and_Upload/</w:t>
      </w:r>
    </w:p>
    <w:p>
      <w:pPr>
        <w:spacing w:after="80"/>
      </w:pPr>
      <w:r>
        <w:rPr>
          <w:rFonts w:ascii="Calibri" w:hAnsi="Calibri" w:eastAsia="Microsoft YaHei"/>
          <w:b/>
          <w:color w:val="2D76A8"/>
        </w:rPr>
        <w:t>CAMELYON17 数据页（同时提供 CAMELYON16/17 入口）：</w:t>
      </w:r>
      <w:r>
        <w:rPr>
          <w:rFonts w:ascii="Calibri" w:hAnsi="Calibri" w:eastAsia="Microsoft YaHei"/>
          <w:color w:val="174A74"/>
        </w:rPr>
        <w:t>https://camelyon17.grand-challenge.org/Data/</w:t>
      </w:r>
    </w:p>
    <w:p>
      <w:pPr>
        <w:pStyle w:val="Heading2"/>
      </w:pPr>
      <w:r>
        <w:t>真实数据实验的合格判据</w:t>
      </w:r>
    </w:p>
    <w:p>
      <w:pPr>
        <w:shd w:fill="EAF3F8"/>
        <w:pBdr>
          <w:left w:val="single" w:sz="18" w:space="8" w:color="2D76A8"/>
        </w:pBdr>
        <w:spacing w:before="120" w:after="200"/>
        <w:ind w:left="173" w:right="173"/>
      </w:pPr>
      <w:r>
        <w:rPr>
          <w:rFonts w:ascii="Calibri" w:hAnsi="Calibri" w:eastAsia="Microsoft YaHei"/>
          <w:b/>
          <w:color w:val="183247"/>
          <w:sz w:val="22"/>
        </w:rPr>
        <w:t>不要要求真实数据也达到 1.0。更合理的成功标准是：Jittor 与 PyTorch 在相同数据和初始化下，前向与训练曲线仍接近；两者的真实测试 AUROC/F1 差异很小；结果明显优于随机基线；注意力热图具有基本病理合理性；并且所有数据划分、失败实验和资源限制都能在 README 中审计。</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B8C"/>
        <w:sz w:val="18"/>
      </w:rPr>
      <w:t xml:space="preserve">杨博涵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87B8C"/>
        <w:sz w:val="18"/>
      </w:rPr>
      <w:t>CHIEF Jittor 复现｜算法与训练测试演示｜约 25 分钟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8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D76A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D76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74A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Jittor 算法、训练测试演示强化版讲稿</dc:title>
  <dc:subject>CHIEF algorithm, Jittor implementation, alignment, training and testing</dc:subject>
  <dc:creator>杨博涵</dc:creator>
  <cp:keywords>CHIEF, Jittor, computational pathology, reproduction</cp:keywords>
  <dc:description>generated by python-docx</dc:description>
  <cp:lastModifiedBy/>
  <cp:revision>1</cp:revision>
  <dcterms:created xsi:type="dcterms:W3CDTF">2013-12-23T23:15:00Z</dcterms:created>
  <dcterms:modified xsi:type="dcterms:W3CDTF">2013-12-23T23:15:00Z</dcterms:modified>
  <cp:category/>
</cp:coreProperties>
</file>