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color w:val="002661"/>
          <w:sz w:val="48"/>
        </w:rPr>
        <w:t>透明化身份规划平台 · 本地 AI 运营平台</w:t>
      </w:r>
    </w:p>
    <w:p>
      <w:pPr>
        <w:jc w:val="center"/>
      </w:pPr>
      <w:r>
        <w:rPr>
          <w:rFonts w:ascii="Times New Roman" w:hAnsi="Times New Roman" w:eastAsia="黑体"/>
          <w:b/>
          <w:color w:val="AF2D67"/>
          <w:sz w:val="60"/>
        </w:rPr>
        <w:t>项目全案</w:t>
      </w:r>
    </w:p>
    <w:p/>
    <w:p>
      <w:pPr>
        <w:jc w:val="center"/>
      </w:pPr>
      <w:r>
        <w:rPr>
          <w:rFonts w:ascii="Times New Roman" w:hAnsi="Times New Roman" w:eastAsia="楷体"/>
          <w:b w:val="0"/>
          <w:color w:val="5E6B7E"/>
          <w:sz w:val="28"/>
        </w:rPr>
        <w:t>立项 · 策划 · 调研 · 产品 · 设计 · 页面 · AI · 工程实现</w:t>
      </w:r>
    </w:p>
    <w:p/>
    <w:p/>
    <w:p/>
    <w:p/>
    <w:p/>
    <w:p/>
    <w:p/>
    <w:p/>
    <w:p>
      <w:pPr>
        <w:jc w:val="center"/>
      </w:pPr>
      <w:r>
        <w:rPr>
          <w:rFonts w:ascii="Times New Roman" w:hAnsi="Times New Roman" w:eastAsia="宋体"/>
          <w:b w:val="0"/>
          <w:sz w:val="26"/>
        </w:rPr>
        <w:t>项目代号：TIP（Transparent Identity Platform）</w:t>
      </w:r>
    </w:p>
    <w:p>
      <w:pPr>
        <w:jc w:val="center"/>
      </w:pPr>
      <w:r>
        <w:rPr>
          <w:rFonts w:ascii="Times New Roman" w:hAnsi="Times New Roman" w:eastAsia="宋体"/>
          <w:b w:val="0"/>
          <w:sz w:val="26"/>
        </w:rPr>
        <w:t>文档版本：v1.0</w:t>
      </w:r>
    </w:p>
    <w:p>
      <w:pPr>
        <w:jc w:val="center"/>
      </w:pPr>
      <w:r>
        <w:rPr>
          <w:rFonts w:ascii="Times New Roman" w:hAnsi="Times New Roman" w:eastAsia="宋体"/>
          <w:b w:val="0"/>
          <w:sz w:val="26"/>
        </w:rPr>
        <w:t>日期：2026 年 10 月 17 日</w:t>
      </w:r>
    </w:p>
    <w:p>
      <w:pPr>
        <w:jc w:val="center"/>
      </w:pPr>
      <w:r>
        <w:rPr>
          <w:rFonts w:ascii="Times New Roman" w:hAnsi="Times New Roman" w:eastAsia="宋体"/>
          <w:b w:val="0"/>
          <w:sz w:val="26"/>
        </w:rPr>
        <w:t>密级：内部资料 · 仅供项目团队与投资人评估使用</w:t>
      </w:r>
    </w:p>
    <w:p>
      <w:pPr>
        <w:sectPr>
          <w:footerReference w:type="default" r:id="rId9"/>
          <w:pgSz w:w="11906" w:h="16838"/>
          <w:pgMar w:top="1417" w:right="1417" w:bottom="1417" w:left="1417" w:header="720" w:footer="720" w:gutter="0"/>
          <w:cols w:space="720"/>
          <w:docGrid w:linePitch="360"/>
        </w:sectPr>
      </w:pPr>
    </w:p>
    <w:p>
      <w:pPr>
        <w:jc w:val="center"/>
      </w:pPr>
      <w:r>
        <w:rPr>
          <w:rFonts w:ascii="Times New Roman" w:hAnsi="Times New Roman" w:eastAsia="黑体"/>
          <w:b/>
          <w:color w:val="1B2433"/>
          <w:sz w:val="36"/>
        </w:rPr>
        <w:t>目  录</w:t>
      </w:r>
    </w:p>
    <w:p/>
    <w:p>
      <w:pPr>
        <w:pStyle w:val="TOC1"/>
        <w:tabs>
          <w:tab w:val="right" w:leader="dot" w:pos="9072"/>
        </w:tabs>
      </w:pPr>
      <w:r>
        <w:fldChar w:fldCharType="begin"/>
      </w:r>
      <w:r>
        <w:instrText xml:space="preserve"> TOC \o "1-2" \h \z \u </w:instrText>
      </w:r>
      <w:r>
        <w:fldChar w:fldCharType="separate"/>
      </w:r>
      <w:hyperlink w:anchor="_LarkToc00001" w:history="1">
        <w:r>
          <w:t>第 1 章 项目总览</w:t>
        </w:r>
        <w:r>
          <w:tab/>
        </w:r>
        <w:r>
          <w:fldChar w:fldCharType="begin"/>
        </w:r>
        <w:r>
          <w:instrText xml:space="preserve"> PAGEREF _LarkToc00001 \h </w:instrText>
        </w:r>
        <w:r>
          <w:fldChar w:fldCharType="separate"/>
        </w:r>
        <w:r>
          <w:t>1</w:t>
        </w:r>
        <w:r>
          <w:fldChar w:fldCharType="end"/>
        </w:r>
      </w:hyperlink>
    </w:p>
    <w:p>
      <w:pPr>
        <w:pStyle w:val="TOC2"/>
        <w:tabs>
          <w:tab w:val="right" w:leader="dot" w:pos="9072"/>
        </w:tabs>
      </w:pPr>
      <w:hyperlink w:anchor="_LarkToc00002" w:history="1">
        <w:r>
          <w:t>1.1 一句话定位</w:t>
        </w:r>
        <w:r>
          <w:tab/>
        </w:r>
        <w:r>
          <w:fldChar w:fldCharType="begin"/>
        </w:r>
        <w:r>
          <w:instrText xml:space="preserve"> PAGEREF _LarkToc00002 \h </w:instrText>
        </w:r>
        <w:r>
          <w:fldChar w:fldCharType="separate"/>
        </w:r>
        <w:r>
          <w:t>1</w:t>
        </w:r>
        <w:r>
          <w:fldChar w:fldCharType="end"/>
        </w:r>
      </w:hyperlink>
    </w:p>
    <w:p>
      <w:pPr>
        <w:pStyle w:val="TOC2"/>
        <w:tabs>
          <w:tab w:val="right" w:leader="dot" w:pos="9072"/>
        </w:tabs>
      </w:pPr>
      <w:hyperlink w:anchor="_LarkToc00003" w:history="1">
        <w:r>
          <w:t>1.2 时间跨度与推进方式</w:t>
        </w:r>
        <w:r>
          <w:tab/>
        </w:r>
        <w:r>
          <w:fldChar w:fldCharType="begin"/>
        </w:r>
        <w:r>
          <w:instrText xml:space="preserve"> PAGEREF _LarkToc00003 \h </w:instrText>
        </w:r>
        <w:r>
          <w:fldChar w:fldCharType="separate"/>
        </w:r>
        <w:r>
          <w:t>1</w:t>
        </w:r>
        <w:r>
          <w:fldChar w:fldCharType="end"/>
        </w:r>
      </w:hyperlink>
    </w:p>
    <w:p>
      <w:pPr>
        <w:pStyle w:val="TOC2"/>
        <w:tabs>
          <w:tab w:val="right" w:leader="dot" w:pos="9072"/>
        </w:tabs>
      </w:pPr>
      <w:hyperlink w:anchor="_LarkToc00004" w:history="1">
        <w:r>
          <w:t>1.3 当前成果一览</w:t>
        </w:r>
        <w:r>
          <w:tab/>
        </w:r>
        <w:r>
          <w:fldChar w:fldCharType="begin"/>
        </w:r>
        <w:r>
          <w:instrText xml:space="preserve"> PAGEREF _LarkToc00004 \h </w:instrText>
        </w:r>
        <w:r>
          <w:fldChar w:fldCharType="separate"/>
        </w:r>
        <w:r>
          <w:t>1</w:t>
        </w:r>
        <w:r>
          <w:fldChar w:fldCharType="end"/>
        </w:r>
      </w:hyperlink>
    </w:p>
    <w:p>
      <w:pPr>
        <w:pStyle w:val="TOC2"/>
        <w:tabs>
          <w:tab w:val="right" w:leader="dot" w:pos="9072"/>
        </w:tabs>
      </w:pPr>
      <w:hyperlink w:anchor="_LarkToc00005" w:history="1">
        <w:r>
          <w:t>1.4 关键里程碑指标</w:t>
        </w:r>
        <w:r>
          <w:tab/>
        </w:r>
        <w:r>
          <w:fldChar w:fldCharType="begin"/>
        </w:r>
        <w:r>
          <w:instrText xml:space="preserve"> PAGEREF _LarkToc00005 \h </w:instrText>
        </w:r>
        <w:r>
          <w:fldChar w:fldCharType="separate"/>
        </w:r>
        <w:r>
          <w:t>2</w:t>
        </w:r>
        <w:r>
          <w:fldChar w:fldCharType="end"/>
        </w:r>
      </w:hyperlink>
    </w:p>
    <w:p>
      <w:pPr>
        <w:pStyle w:val="TOC2"/>
        <w:tabs>
          <w:tab w:val="right" w:leader="dot" w:pos="9072"/>
        </w:tabs>
      </w:pPr>
      <w:hyperlink w:anchor="_LarkToc00006" w:history="1">
        <w:r>
          <w:t>1.5 本文档的使用方法</w:t>
        </w:r>
        <w:r>
          <w:tab/>
        </w:r>
        <w:r>
          <w:fldChar w:fldCharType="begin"/>
        </w:r>
        <w:r>
          <w:instrText xml:space="preserve"> PAGEREF _LarkToc00006 \h </w:instrText>
        </w:r>
        <w:r>
          <w:fldChar w:fldCharType="separate"/>
        </w:r>
        <w:r>
          <w:t>3</w:t>
        </w:r>
        <w:r>
          <w:fldChar w:fldCharType="end"/>
        </w:r>
      </w:hyperlink>
    </w:p>
    <w:p>
      <w:pPr>
        <w:pStyle w:val="TOC1"/>
        <w:tabs>
          <w:tab w:val="right" w:leader="dot" w:pos="9072"/>
        </w:tabs>
      </w:pPr>
      <w:hyperlink w:anchor="_LarkToc00007" w:history="1">
        <w:r>
          <w:t>第 2 章 立项背景与行业问题</w:t>
        </w:r>
        <w:r>
          <w:tab/>
        </w:r>
        <w:r>
          <w:fldChar w:fldCharType="begin"/>
        </w:r>
        <w:r>
          <w:instrText xml:space="preserve"> PAGEREF _LarkToc00007 \h </w:instrText>
        </w:r>
        <w:r>
          <w:fldChar w:fldCharType="separate"/>
        </w:r>
        <w:r>
          <w:t>3</w:t>
        </w:r>
        <w:r>
          <w:fldChar w:fldCharType="end"/>
        </w:r>
      </w:hyperlink>
    </w:p>
    <w:p>
      <w:pPr>
        <w:pStyle w:val="TOC2"/>
        <w:tabs>
          <w:tab w:val="right" w:leader="dot" w:pos="9072"/>
        </w:tabs>
      </w:pPr>
      <w:hyperlink w:anchor="_LarkToc00008" w:history="1">
        <w:r>
          <w:t>2.1 行业痛点：壁垒来自信息、费用与过程的不透明</w:t>
        </w:r>
        <w:r>
          <w:tab/>
        </w:r>
        <w:r>
          <w:fldChar w:fldCharType="begin"/>
        </w:r>
        <w:r>
          <w:instrText xml:space="preserve"> PAGEREF _LarkToc00008 \h </w:instrText>
        </w:r>
        <w:r>
          <w:fldChar w:fldCharType="separate"/>
        </w:r>
        <w:r>
          <w:t>3</w:t>
        </w:r>
        <w:r>
          <w:fldChar w:fldCharType="end"/>
        </w:r>
      </w:hyperlink>
    </w:p>
    <w:p>
      <w:pPr>
        <w:pStyle w:val="TOC2"/>
        <w:tabs>
          <w:tab w:val="right" w:leader="dot" w:pos="9072"/>
        </w:tabs>
      </w:pPr>
      <w:hyperlink w:anchor="_LarkToc00009" w:history="1">
        <w:r>
          <w:t>2.2 破局思路：用“核验与责任体系”替代信息差</w:t>
        </w:r>
        <w:r>
          <w:tab/>
        </w:r>
        <w:r>
          <w:fldChar w:fldCharType="begin"/>
        </w:r>
        <w:r>
          <w:instrText xml:space="preserve"> PAGEREF _LarkToc00009 \h </w:instrText>
        </w:r>
        <w:r>
          <w:fldChar w:fldCharType="separate"/>
        </w:r>
        <w:r>
          <w:t>4</w:t>
        </w:r>
        <w:r>
          <w:fldChar w:fldCharType="end"/>
        </w:r>
      </w:hyperlink>
    </w:p>
    <w:p>
      <w:pPr>
        <w:pStyle w:val="TOC2"/>
        <w:tabs>
          <w:tab w:val="right" w:leader="dot" w:pos="9072"/>
        </w:tabs>
      </w:pPr>
      <w:hyperlink w:anchor="_LarkToc00010" w:history="1">
        <w:r>
          <w:t>2.3 商业与合规地基：G-P0 决策门（D1–D9）</w:t>
        </w:r>
        <w:r>
          <w:tab/>
        </w:r>
        <w:r>
          <w:fldChar w:fldCharType="begin"/>
        </w:r>
        <w:r>
          <w:instrText xml:space="preserve"> PAGEREF _LarkToc00010 \h </w:instrText>
        </w:r>
        <w:r>
          <w:fldChar w:fldCharType="separate"/>
        </w:r>
        <w:r>
          <w:t>4</w:t>
        </w:r>
        <w:r>
          <w:fldChar w:fldCharType="end"/>
        </w:r>
      </w:hyperlink>
    </w:p>
    <w:p>
      <w:pPr>
        <w:pStyle w:val="TOC2"/>
        <w:tabs>
          <w:tab w:val="right" w:leader="dot" w:pos="9072"/>
        </w:tabs>
      </w:pPr>
      <w:hyperlink w:anchor="_LarkToc00011" w:history="1">
        <w:r>
          <w:t>2.4 三阶段演进路线</w:t>
        </w:r>
        <w:r>
          <w:tab/>
        </w:r>
        <w:r>
          <w:fldChar w:fldCharType="begin"/>
        </w:r>
        <w:r>
          <w:instrText xml:space="preserve"> PAGEREF _LarkToc00011 \h </w:instrText>
        </w:r>
        <w:r>
          <w:fldChar w:fldCharType="separate"/>
        </w:r>
        <w:r>
          <w:t>5</w:t>
        </w:r>
        <w:r>
          <w:fldChar w:fldCharType="end"/>
        </w:r>
      </w:hyperlink>
    </w:p>
    <w:p>
      <w:pPr>
        <w:pStyle w:val="TOC2"/>
        <w:tabs>
          <w:tab w:val="right" w:leader="dot" w:pos="9072"/>
        </w:tabs>
      </w:pPr>
      <w:hyperlink w:anchor="_LarkToc00012" w:history="1">
        <w:r>
          <w:t>2.5 试点范围与明确不做</w:t>
        </w:r>
        <w:r>
          <w:tab/>
        </w:r>
        <w:r>
          <w:fldChar w:fldCharType="begin"/>
        </w:r>
        <w:r>
          <w:instrText xml:space="preserve"> PAGEREF _LarkToc00012 \h </w:instrText>
        </w:r>
        <w:r>
          <w:fldChar w:fldCharType="separate"/>
        </w:r>
        <w:r>
          <w:t>5</w:t>
        </w:r>
        <w:r>
          <w:fldChar w:fldCharType="end"/>
        </w:r>
      </w:hyperlink>
    </w:p>
    <w:p>
      <w:pPr>
        <w:pStyle w:val="TOC1"/>
        <w:tabs>
          <w:tab w:val="right" w:leader="dot" w:pos="9072"/>
        </w:tabs>
      </w:pPr>
      <w:hyperlink w:anchor="_LarkToc00013" w:history="1">
        <w:r>
          <w:t>第 3 章 产品策划与版本演进</w:t>
        </w:r>
        <w:r>
          <w:tab/>
        </w:r>
        <w:r>
          <w:fldChar w:fldCharType="begin"/>
        </w:r>
        <w:r>
          <w:instrText xml:space="preserve"> PAGEREF _LarkToc00013 \h </w:instrText>
        </w:r>
        <w:r>
          <w:fldChar w:fldCharType="separate"/>
        </w:r>
        <w:r>
          <w:t>6</w:t>
        </w:r>
        <w:r>
          <w:fldChar w:fldCharType="end"/>
        </w:r>
      </w:hyperlink>
    </w:p>
    <w:p>
      <w:pPr>
        <w:pStyle w:val="TOC2"/>
        <w:tabs>
          <w:tab w:val="right" w:leader="dot" w:pos="9072"/>
        </w:tabs>
      </w:pPr>
      <w:hyperlink w:anchor="_LarkToc00014" w:history="1">
        <w:r>
          <w:t>3.1 版本演进总览</w:t>
        </w:r>
        <w:r>
          <w:tab/>
        </w:r>
        <w:r>
          <w:fldChar w:fldCharType="begin"/>
        </w:r>
        <w:r>
          <w:instrText xml:space="preserve"> PAGEREF _LarkToc00014 \h </w:instrText>
        </w:r>
        <w:r>
          <w:fldChar w:fldCharType="separate"/>
        </w:r>
        <w:r>
          <w:t>6</w:t>
        </w:r>
        <w:r>
          <w:fldChar w:fldCharType="end"/>
        </w:r>
      </w:hyperlink>
    </w:p>
    <w:p>
      <w:pPr>
        <w:pStyle w:val="TOC2"/>
        <w:tabs>
          <w:tab w:val="right" w:leader="dot" w:pos="9072"/>
        </w:tabs>
      </w:pPr>
      <w:hyperlink w:anchor="_LarkToc00015" w:history="1">
        <w:r>
          <w:t>3.2 V1：从内部工具到双边平台的第一版定义</w:t>
        </w:r>
        <w:r>
          <w:tab/>
        </w:r>
        <w:r>
          <w:fldChar w:fldCharType="begin"/>
        </w:r>
        <w:r>
          <w:instrText xml:space="preserve"> PAGEREF _LarkToc00015 \h </w:instrText>
        </w:r>
        <w:r>
          <w:fldChar w:fldCharType="separate"/>
        </w:r>
        <w:r>
          <w:t>6</w:t>
        </w:r>
        <w:r>
          <w:fldChar w:fldCharType="end"/>
        </w:r>
      </w:hyperlink>
    </w:p>
    <w:p>
      <w:pPr>
        <w:pStyle w:val="TOC2"/>
        <w:tabs>
          <w:tab w:val="right" w:leader="dot" w:pos="9072"/>
        </w:tabs>
      </w:pPr>
      <w:hyperlink w:anchor="_LarkToc00016" w:history="1">
        <w:r>
          <w:t>3.3 V2：机制成立，但商业地基必须先补齐</w:t>
        </w:r>
        <w:r>
          <w:tab/>
        </w:r>
        <w:r>
          <w:fldChar w:fldCharType="begin"/>
        </w:r>
        <w:r>
          <w:instrText xml:space="preserve"> PAGEREF _LarkToc00016 \h </w:instrText>
        </w:r>
        <w:r>
          <w:fldChar w:fldCharType="separate"/>
        </w:r>
        <w:r>
          <w:t>7</w:t>
        </w:r>
        <w:r>
          <w:fldChar w:fldCharType="end"/>
        </w:r>
      </w:hyperlink>
    </w:p>
    <w:p>
      <w:pPr>
        <w:pStyle w:val="TOC2"/>
        <w:tabs>
          <w:tab w:val="right" w:leader="dot" w:pos="9072"/>
        </w:tabs>
      </w:pPr>
      <w:hyperlink w:anchor="_LarkToc00017" w:history="1">
        <w:r>
          <w:t>3.4 功能卡与核心对象、状态机（G-P2–G-P4）</w:t>
        </w:r>
        <w:r>
          <w:tab/>
        </w:r>
        <w:r>
          <w:fldChar w:fldCharType="begin"/>
        </w:r>
        <w:r>
          <w:instrText xml:space="preserve"> PAGEREF _LarkToc00017 \h </w:instrText>
        </w:r>
        <w:r>
          <w:fldChar w:fldCharType="separate"/>
        </w:r>
        <w:r>
          <w:t>7</w:t>
        </w:r>
        <w:r>
          <w:fldChar w:fldCharType="end"/>
        </w:r>
      </w:hyperlink>
    </w:p>
    <w:p>
      <w:pPr>
        <w:pStyle w:val="TOC2"/>
        <w:tabs>
          <w:tab w:val="right" w:leader="dot" w:pos="9072"/>
        </w:tabs>
      </w:pPr>
      <w:hyperlink w:anchor="_LarkToc00018" w:history="1">
        <w:r>
          <w:t>3.5 V4：升维为本地 AI 运营平台</w:t>
        </w:r>
        <w:r>
          <w:tab/>
        </w:r>
        <w:r>
          <w:fldChar w:fldCharType="begin"/>
        </w:r>
        <w:r>
          <w:instrText xml:space="preserve"> PAGEREF _LarkToc00018 \h </w:instrText>
        </w:r>
        <w:r>
          <w:fldChar w:fldCharType="separate"/>
        </w:r>
        <w:r>
          <w:t>7</w:t>
        </w:r>
        <w:r>
          <w:fldChar w:fldCharType="end"/>
        </w:r>
      </w:hyperlink>
    </w:p>
    <w:p>
      <w:pPr>
        <w:pStyle w:val="TOC1"/>
        <w:tabs>
          <w:tab w:val="right" w:leader="dot" w:pos="9072"/>
        </w:tabs>
      </w:pPr>
      <w:hyperlink w:anchor="_LarkToc00019" w:history="1">
        <w:r>
          <w:t>第 4 章 调研与对标</w:t>
        </w:r>
        <w:r>
          <w:tab/>
        </w:r>
        <w:r>
          <w:fldChar w:fldCharType="begin"/>
        </w:r>
        <w:r>
          <w:instrText xml:space="preserve"> PAGEREF _LarkToc00019 \h </w:instrText>
        </w:r>
        <w:r>
          <w:fldChar w:fldCharType="separate"/>
        </w:r>
        <w:r>
          <w:t>8</w:t>
        </w:r>
        <w:r>
          <w:fldChar w:fldCharType="end"/>
        </w:r>
      </w:hyperlink>
    </w:p>
    <w:p>
      <w:pPr>
        <w:pStyle w:val="TOC2"/>
        <w:tabs>
          <w:tab w:val="right" w:leader="dot" w:pos="9072"/>
        </w:tabs>
      </w:pPr>
      <w:hyperlink w:anchor="_LarkToc00020" w:history="1">
        <w:r>
          <w:t>4.1 友邦“友享”App 对标：借结构，不复制品牌</w:t>
        </w:r>
        <w:r>
          <w:tab/>
        </w:r>
        <w:r>
          <w:fldChar w:fldCharType="begin"/>
        </w:r>
        <w:r>
          <w:instrText xml:space="preserve"> PAGEREF _LarkToc00020 \h </w:instrText>
        </w:r>
        <w:r>
          <w:fldChar w:fldCharType="separate"/>
        </w:r>
        <w:r>
          <w:t>8</w:t>
        </w:r>
        <w:r>
          <w:fldChar w:fldCharType="end"/>
        </w:r>
      </w:hyperlink>
    </w:p>
    <w:p>
      <w:pPr>
        <w:pStyle w:val="TOC2"/>
        <w:tabs>
          <w:tab w:val="right" w:leader="dot" w:pos="9072"/>
        </w:tabs>
      </w:pPr>
      <w:hyperlink w:anchor="_LarkToc00021" w:history="1">
        <w:r>
          <w:t>4.2 西方简洁 App 体验基准：Wise / Monzo 气质</w:t>
        </w:r>
        <w:r>
          <w:tab/>
        </w:r>
        <w:r>
          <w:fldChar w:fldCharType="begin"/>
        </w:r>
        <w:r>
          <w:instrText xml:space="preserve"> PAGEREF _LarkToc00021 \h </w:instrText>
        </w:r>
        <w:r>
          <w:fldChar w:fldCharType="separate"/>
        </w:r>
        <w:r>
          <w:t>8</w:t>
        </w:r>
        <w:r>
          <w:fldChar w:fldCharType="end"/>
        </w:r>
      </w:hyperlink>
    </w:p>
    <w:p>
      <w:pPr>
        <w:pStyle w:val="TOC2"/>
        <w:tabs>
          <w:tab w:val="right" w:leader="dot" w:pos="9072"/>
        </w:tabs>
      </w:pPr>
      <w:hyperlink w:anchor="_LarkToc00022" w:history="1">
        <w:r>
          <w:t>4.3 “全球通行”对标：护照与签证数据</w:t>
        </w:r>
        <w:r>
          <w:tab/>
        </w:r>
        <w:r>
          <w:fldChar w:fldCharType="begin"/>
        </w:r>
        <w:r>
          <w:instrText xml:space="preserve"> PAGEREF _LarkToc00022 \h </w:instrText>
        </w:r>
        <w:r>
          <w:fldChar w:fldCharType="separate"/>
        </w:r>
        <w:r>
          <w:t>9</w:t>
        </w:r>
        <w:r>
          <w:fldChar w:fldCharType="end"/>
        </w:r>
      </w:hyperlink>
    </w:p>
    <w:p>
      <w:pPr>
        <w:pStyle w:val="TOC2"/>
        <w:tabs>
          <w:tab w:val="right" w:leader="dot" w:pos="9072"/>
        </w:tabs>
      </w:pPr>
      <w:hyperlink w:anchor="_LarkToc00023" w:history="1">
        <w:r>
          <w:t>4.4 AI 知识工程调研：从 RAG 到 LLM Wiki</w:t>
        </w:r>
        <w:r>
          <w:tab/>
        </w:r>
        <w:r>
          <w:fldChar w:fldCharType="begin"/>
        </w:r>
        <w:r>
          <w:instrText xml:space="preserve"> PAGEREF _LarkToc00023 \h </w:instrText>
        </w:r>
        <w:r>
          <w:fldChar w:fldCharType="separate"/>
        </w:r>
        <w:r>
          <w:t>9</w:t>
        </w:r>
        <w:r>
          <w:fldChar w:fldCharType="end"/>
        </w:r>
      </w:hyperlink>
    </w:p>
    <w:p>
      <w:pPr>
        <w:pStyle w:val="TOC2"/>
        <w:tabs>
          <w:tab w:val="right" w:leader="dot" w:pos="9072"/>
        </w:tabs>
      </w:pPr>
      <w:hyperlink w:anchor="_LarkToc00024" w:history="1">
        <w:r>
          <w:t>4.5 合规调研：备案、持牌与数据跨境</w:t>
        </w:r>
        <w:r>
          <w:tab/>
        </w:r>
        <w:r>
          <w:fldChar w:fldCharType="begin"/>
        </w:r>
        <w:r>
          <w:instrText xml:space="preserve"> PAGEREF _LarkToc00024 \h </w:instrText>
        </w:r>
        <w:r>
          <w:fldChar w:fldCharType="separate"/>
        </w:r>
        <w:r>
          <w:t>10</w:t>
        </w:r>
        <w:r>
          <w:fldChar w:fldCharType="end"/>
        </w:r>
      </w:hyperlink>
    </w:p>
    <w:p>
      <w:pPr>
        <w:pStyle w:val="TOC1"/>
        <w:tabs>
          <w:tab w:val="right" w:leader="dot" w:pos="9072"/>
        </w:tabs>
      </w:pPr>
      <w:hyperlink w:anchor="_LarkToc00025" w:history="1">
        <w:r>
          <w:t>第 5 章 产品体系与功能设计</w:t>
        </w:r>
        <w:r>
          <w:tab/>
        </w:r>
        <w:r>
          <w:fldChar w:fldCharType="begin"/>
        </w:r>
        <w:r>
          <w:instrText xml:space="preserve"> PAGEREF _LarkToc00025 \h </w:instrText>
        </w:r>
        <w:r>
          <w:fldChar w:fldCharType="separate"/>
        </w:r>
        <w:r>
          <w:t>10</w:t>
        </w:r>
        <w:r>
          <w:fldChar w:fldCharType="end"/>
        </w:r>
      </w:hyperlink>
    </w:p>
    <w:p>
      <w:pPr>
        <w:pStyle w:val="TOC2"/>
        <w:tabs>
          <w:tab w:val="right" w:leader="dot" w:pos="9072"/>
        </w:tabs>
      </w:pPr>
      <w:hyperlink w:anchor="_LarkToc00026" w:history="1">
        <w:r>
          <w:t>5.1 总体形态：一个后台、两个终端、一个门户</w:t>
        </w:r>
        <w:r>
          <w:tab/>
        </w:r>
        <w:r>
          <w:fldChar w:fldCharType="begin"/>
        </w:r>
        <w:r>
          <w:instrText xml:space="preserve"> PAGEREF _LarkToc00026 \h </w:instrText>
        </w:r>
        <w:r>
          <w:fldChar w:fldCharType="separate"/>
        </w:r>
        <w:r>
          <w:t>10</w:t>
        </w:r>
        <w:r>
          <w:fldChar w:fldCharType="end"/>
        </w:r>
      </w:hyperlink>
    </w:p>
    <w:p>
      <w:pPr>
        <w:pStyle w:val="TOC2"/>
        <w:tabs>
          <w:tab w:val="right" w:leader="dot" w:pos="9072"/>
        </w:tabs>
      </w:pPr>
      <w:hyperlink w:anchor="_LarkToc00027" w:history="1">
        <w:r>
          <w:t>5.2 核心业务对象：全系统的共同语言</w:t>
        </w:r>
        <w:r>
          <w:tab/>
        </w:r>
        <w:r>
          <w:fldChar w:fldCharType="begin"/>
        </w:r>
        <w:r>
          <w:instrText xml:space="preserve"> PAGEREF _LarkToc00027 \h </w:instrText>
        </w:r>
        <w:r>
          <w:fldChar w:fldCharType="separate"/>
        </w:r>
        <w:r>
          <w:t>10</w:t>
        </w:r>
        <w:r>
          <w:fldChar w:fldCharType="end"/>
        </w:r>
      </w:hyperlink>
    </w:p>
    <w:p>
      <w:pPr>
        <w:pStyle w:val="TOC2"/>
        <w:tabs>
          <w:tab w:val="right" w:leader="dot" w:pos="9072"/>
        </w:tabs>
      </w:pPr>
      <w:hyperlink w:anchor="_LarkToc00028" w:history="1">
        <w:r>
          <w:t>5.3 全业务闭环与关键闸门</w:t>
        </w:r>
        <w:r>
          <w:tab/>
        </w:r>
        <w:r>
          <w:fldChar w:fldCharType="begin"/>
        </w:r>
        <w:r>
          <w:instrText xml:space="preserve"> PAGEREF _LarkToc00028 \h </w:instrText>
        </w:r>
        <w:r>
          <w:fldChar w:fldCharType="separate"/>
        </w:r>
        <w:r>
          <w:t>11</w:t>
        </w:r>
        <w:r>
          <w:fldChar w:fldCharType="end"/>
        </w:r>
      </w:hyperlink>
    </w:p>
    <w:p>
      <w:pPr>
        <w:pStyle w:val="TOC2"/>
        <w:tabs>
          <w:tab w:val="right" w:leader="dot" w:pos="9072"/>
        </w:tabs>
      </w:pPr>
      <w:hyperlink w:anchor="_LarkToc00029" w:history="1">
        <w:r>
          <w:t>5.4 研发级 PRD M1–M5</w:t>
        </w:r>
        <w:r>
          <w:tab/>
        </w:r>
        <w:r>
          <w:fldChar w:fldCharType="begin"/>
        </w:r>
        <w:r>
          <w:instrText xml:space="preserve"> PAGEREF _LarkToc00029 \h </w:instrText>
        </w:r>
        <w:r>
          <w:fldChar w:fldCharType="separate"/>
        </w:r>
        <w:r>
          <w:t>12</w:t>
        </w:r>
        <w:r>
          <w:fldChar w:fldCharType="end"/>
        </w:r>
      </w:hyperlink>
    </w:p>
    <w:p>
      <w:pPr>
        <w:pStyle w:val="TOC2"/>
        <w:tabs>
          <w:tab w:val="right" w:leader="dot" w:pos="9072"/>
        </w:tabs>
      </w:pPr>
      <w:hyperlink w:anchor="_LarkToc00030" w:history="1">
        <w:r>
          <w:t>5.5 内容红线 14 条</w:t>
        </w:r>
        <w:r>
          <w:tab/>
        </w:r>
        <w:r>
          <w:fldChar w:fldCharType="begin"/>
        </w:r>
        <w:r>
          <w:instrText xml:space="preserve"> PAGEREF _LarkToc00030 \h </w:instrText>
        </w:r>
        <w:r>
          <w:fldChar w:fldCharType="separate"/>
        </w:r>
        <w:r>
          <w:t>12</w:t>
        </w:r>
        <w:r>
          <w:fldChar w:fldCharType="end"/>
        </w:r>
      </w:hyperlink>
    </w:p>
    <w:p>
      <w:pPr>
        <w:pStyle w:val="TOC2"/>
        <w:tabs>
          <w:tab w:val="right" w:leader="dot" w:pos="9072"/>
        </w:tabs>
      </w:pPr>
      <w:hyperlink w:anchor="_LarkToc00031" w:history="1">
        <w:r>
          <w:t>5.6 初评体系：只做差距提示，不做资格认定</w:t>
        </w:r>
        <w:r>
          <w:tab/>
        </w:r>
        <w:r>
          <w:fldChar w:fldCharType="begin"/>
        </w:r>
        <w:r>
          <w:instrText xml:space="preserve"> PAGEREF _LarkToc00031 \h </w:instrText>
        </w:r>
        <w:r>
          <w:fldChar w:fldCharType="separate"/>
        </w:r>
        <w:r>
          <w:t>13</w:t>
        </w:r>
        <w:r>
          <w:fldChar w:fldCharType="end"/>
        </w:r>
      </w:hyperlink>
    </w:p>
    <w:p>
      <w:pPr>
        <w:pStyle w:val="TOC1"/>
        <w:tabs>
          <w:tab w:val="right" w:leader="dot" w:pos="9072"/>
        </w:tabs>
      </w:pPr>
      <w:hyperlink w:anchor="_LarkToc00032" w:history="1">
        <w:r>
          <w:t>第 6 章 视觉设计与页面体系</w:t>
        </w:r>
        <w:r>
          <w:tab/>
        </w:r>
        <w:r>
          <w:fldChar w:fldCharType="begin"/>
        </w:r>
        <w:r>
          <w:instrText xml:space="preserve"> PAGEREF _LarkToc00032 \h </w:instrText>
        </w:r>
        <w:r>
          <w:fldChar w:fldCharType="separate"/>
        </w:r>
        <w:r>
          <w:t>13</w:t>
        </w:r>
        <w:r>
          <w:fldChar w:fldCharType="end"/>
        </w:r>
      </w:hyperlink>
    </w:p>
    <w:p>
      <w:pPr>
        <w:pStyle w:val="TOC2"/>
        <w:tabs>
          <w:tab w:val="right" w:leader="dot" w:pos="9072"/>
        </w:tabs>
      </w:pPr>
      <w:hyperlink w:anchor="_LarkToc00033" w:history="1">
        <w:r>
          <w:t>6.1 设计流程纪律</w:t>
        </w:r>
        <w:r>
          <w:tab/>
        </w:r>
        <w:r>
          <w:fldChar w:fldCharType="begin"/>
        </w:r>
        <w:r>
          <w:instrText xml:space="preserve"> PAGEREF _LarkToc00033 \h </w:instrText>
        </w:r>
        <w:r>
          <w:fldChar w:fldCharType="separate"/>
        </w:r>
        <w:r>
          <w:t>13</w:t>
        </w:r>
        <w:r>
          <w:fldChar w:fldCharType="end"/>
        </w:r>
      </w:hyperlink>
    </w:p>
    <w:p>
      <w:pPr>
        <w:pStyle w:val="TOC2"/>
        <w:tabs>
          <w:tab w:val="right" w:leader="dot" w:pos="9072"/>
        </w:tabs>
      </w:pPr>
      <w:hyperlink w:anchor="_LarkToc00034" w:history="1">
        <w:r>
          <w:t>6.2 品牌与视觉方向：莓红到海军蓝的对角渐变</w:t>
        </w:r>
        <w:r>
          <w:tab/>
        </w:r>
        <w:r>
          <w:fldChar w:fldCharType="begin"/>
        </w:r>
        <w:r>
          <w:instrText xml:space="preserve"> PAGEREF _LarkToc00034 \h </w:instrText>
        </w:r>
        <w:r>
          <w:fldChar w:fldCharType="separate"/>
        </w:r>
        <w:r>
          <w:t>14</w:t>
        </w:r>
        <w:r>
          <w:fldChar w:fldCharType="end"/>
        </w:r>
      </w:hyperlink>
    </w:p>
    <w:p>
      <w:pPr>
        <w:pStyle w:val="TOC2"/>
        <w:tabs>
          <w:tab w:val="right" w:leader="dot" w:pos="9072"/>
        </w:tabs>
      </w:pPr>
      <w:hyperlink w:anchor="_LarkToc00035" w:history="1">
        <w:r>
          <w:t>6.3 设计 Token 与组件库</w:t>
        </w:r>
        <w:r>
          <w:tab/>
        </w:r>
        <w:r>
          <w:fldChar w:fldCharType="begin"/>
        </w:r>
        <w:r>
          <w:instrText xml:space="preserve"> PAGEREF _LarkToc00035 \h </w:instrText>
        </w:r>
        <w:r>
          <w:fldChar w:fldCharType="separate"/>
        </w:r>
        <w:r>
          <w:t>14</w:t>
        </w:r>
        <w:r>
          <w:fldChar w:fldCharType="end"/>
        </w:r>
      </w:hyperlink>
    </w:p>
    <w:p>
      <w:pPr>
        <w:pStyle w:val="TOC2"/>
        <w:tabs>
          <w:tab w:val="right" w:leader="dot" w:pos="9072"/>
        </w:tabs>
      </w:pPr>
      <w:hyperlink w:anchor="_LarkToc00036" w:history="1">
        <w:r>
          <w:t>6.4 动效体系：高级感来自克制定律</w:t>
        </w:r>
        <w:r>
          <w:tab/>
        </w:r>
        <w:r>
          <w:fldChar w:fldCharType="begin"/>
        </w:r>
        <w:r>
          <w:instrText xml:space="preserve"> PAGEREF _LarkToc00036 \h </w:instrText>
        </w:r>
        <w:r>
          <w:fldChar w:fldCharType="separate"/>
        </w:r>
        <w:r>
          <w:t>15</w:t>
        </w:r>
        <w:r>
          <w:fldChar w:fldCharType="end"/>
        </w:r>
      </w:hyperlink>
    </w:p>
    <w:p>
      <w:pPr>
        <w:pStyle w:val="TOC2"/>
        <w:tabs>
          <w:tab w:val="right" w:leader="dot" w:pos="9072"/>
        </w:tabs>
      </w:pPr>
      <w:hyperlink w:anchor="_LarkToc00037" w:history="1">
        <w:r>
          <w:t>6.5 五端页面清单与视图规模</w:t>
        </w:r>
        <w:r>
          <w:tab/>
        </w:r>
        <w:r>
          <w:fldChar w:fldCharType="begin"/>
        </w:r>
        <w:r>
          <w:instrText xml:space="preserve"> PAGEREF _LarkToc00037 \h </w:instrText>
        </w:r>
        <w:r>
          <w:fldChar w:fldCharType="separate"/>
        </w:r>
        <w:r>
          <w:t>15</w:t>
        </w:r>
        <w:r>
          <w:fldChar w:fldCharType="end"/>
        </w:r>
      </w:hyperlink>
    </w:p>
    <w:p>
      <w:pPr>
        <w:pStyle w:val="TOC2"/>
        <w:tabs>
          <w:tab w:val="right" w:leader="dot" w:pos="9072"/>
        </w:tabs>
      </w:pPr>
      <w:hyperlink w:anchor="_LarkToc00038" w:history="1">
        <w:r>
          <w:t>6.6 Web 演示外壳与 PWA 可安装</w:t>
        </w:r>
        <w:r>
          <w:tab/>
        </w:r>
        <w:r>
          <w:fldChar w:fldCharType="begin"/>
        </w:r>
        <w:r>
          <w:instrText xml:space="preserve"> PAGEREF _LarkToc00038 \h </w:instrText>
        </w:r>
        <w:r>
          <w:fldChar w:fldCharType="separate"/>
        </w:r>
        <w:r>
          <w:t>16</w:t>
        </w:r>
        <w:r>
          <w:fldChar w:fldCharType="end"/>
        </w:r>
      </w:hyperlink>
    </w:p>
    <w:p>
      <w:pPr>
        <w:pStyle w:val="TOC1"/>
        <w:tabs>
          <w:tab w:val="right" w:leader="dot" w:pos="9072"/>
        </w:tabs>
      </w:pPr>
      <w:hyperlink w:anchor="_LarkToc00039" w:history="1">
        <w:r>
          <w:t>第 7 章 AI 产品与技术</w:t>
        </w:r>
        <w:r>
          <w:tab/>
        </w:r>
        <w:r>
          <w:fldChar w:fldCharType="begin"/>
        </w:r>
        <w:r>
          <w:instrText xml:space="preserve"> PAGEREF _LarkToc00039 \h </w:instrText>
        </w:r>
        <w:r>
          <w:fldChar w:fldCharType="separate"/>
        </w:r>
        <w:r>
          <w:t>16</w:t>
        </w:r>
        <w:r>
          <w:fldChar w:fldCharType="end"/>
        </w:r>
      </w:hyperlink>
    </w:p>
    <w:p>
      <w:pPr>
        <w:pStyle w:val="TOC2"/>
        <w:tabs>
          <w:tab w:val="right" w:leader="dot" w:pos="9072"/>
        </w:tabs>
      </w:pPr>
      <w:hyperlink w:anchor="_LarkToc00040" w:history="1">
        <w:r>
          <w:t>7.1 战略定位：AI 是系统的核心，而非附属功能</w:t>
        </w:r>
        <w:r>
          <w:tab/>
        </w:r>
        <w:r>
          <w:fldChar w:fldCharType="begin"/>
        </w:r>
        <w:r>
          <w:instrText xml:space="preserve"> PAGEREF _LarkToc00040 \h </w:instrText>
        </w:r>
        <w:r>
          <w:fldChar w:fldCharType="separate"/>
        </w:r>
        <w:r>
          <w:t>16</w:t>
        </w:r>
        <w:r>
          <w:fldChar w:fldCharType="end"/>
        </w:r>
      </w:hyperlink>
    </w:p>
    <w:p>
      <w:pPr>
        <w:pStyle w:val="TOC2"/>
        <w:tabs>
          <w:tab w:val="right" w:leader="dot" w:pos="9072"/>
        </w:tabs>
      </w:pPr>
      <w:hyperlink w:anchor="_LarkToc00041" w:history="1">
        <w:r>
          <w:t>7.2 三端 AI 的分工</w:t>
        </w:r>
        <w:r>
          <w:tab/>
        </w:r>
        <w:r>
          <w:fldChar w:fldCharType="begin"/>
        </w:r>
        <w:r>
          <w:instrText xml:space="preserve"> PAGEREF _LarkToc00041 \h </w:instrText>
        </w:r>
        <w:r>
          <w:fldChar w:fldCharType="separate"/>
        </w:r>
        <w:r>
          <w:t>16</w:t>
        </w:r>
        <w:r>
          <w:fldChar w:fldCharType="end"/>
        </w:r>
      </w:hyperlink>
    </w:p>
    <w:p>
      <w:pPr>
        <w:pStyle w:val="TOC2"/>
        <w:tabs>
          <w:tab w:val="right" w:leader="dot" w:pos="9072"/>
        </w:tabs>
      </w:pPr>
      <w:hyperlink w:anchor="_LarkToc00042" w:history="1">
        <w:r>
          <w:t>7.3 回答契约：固定结构让答案可核验</w:t>
        </w:r>
        <w:r>
          <w:tab/>
        </w:r>
        <w:r>
          <w:fldChar w:fldCharType="begin"/>
        </w:r>
        <w:r>
          <w:instrText xml:space="preserve"> PAGEREF _LarkToc00042 \h </w:instrText>
        </w:r>
        <w:r>
          <w:fldChar w:fldCharType="separate"/>
        </w:r>
        <w:r>
          <w:t>17</w:t>
        </w:r>
        <w:r>
          <w:fldChar w:fldCharType="end"/>
        </w:r>
      </w:hyperlink>
    </w:p>
    <w:p>
      <w:pPr>
        <w:pStyle w:val="TOC2"/>
        <w:tabs>
          <w:tab w:val="right" w:leader="dot" w:pos="9072"/>
        </w:tabs>
      </w:pPr>
      <w:hyperlink w:anchor="_LarkToc00043" w:history="1">
        <w:r>
          <w:t>7.4 安全护栏：单独同意、密级隔离、AI 不触发业务动作</w:t>
        </w:r>
        <w:r>
          <w:tab/>
        </w:r>
        <w:r>
          <w:fldChar w:fldCharType="begin"/>
        </w:r>
        <w:r>
          <w:instrText xml:space="preserve"> PAGEREF _LarkToc00043 \h </w:instrText>
        </w:r>
        <w:r>
          <w:fldChar w:fldCharType="separate"/>
        </w:r>
        <w:r>
          <w:t>17</w:t>
        </w:r>
        <w:r>
          <w:fldChar w:fldCharType="end"/>
        </w:r>
      </w:hyperlink>
    </w:p>
    <w:p>
      <w:pPr>
        <w:pStyle w:val="TOC2"/>
        <w:tabs>
          <w:tab w:val="right" w:leader="dot" w:pos="9072"/>
        </w:tabs>
      </w:pPr>
      <w:hyperlink w:anchor="_LarkToc00044" w:history="1">
        <w:r>
          <w:t>7.5 技术路线：Grounded + LLM 混合（L/S/D 三模式）</w:t>
        </w:r>
        <w:r>
          <w:tab/>
        </w:r>
        <w:r>
          <w:fldChar w:fldCharType="begin"/>
        </w:r>
        <w:r>
          <w:instrText xml:space="preserve"> PAGEREF _LarkToc00044 \h </w:instrText>
        </w:r>
        <w:r>
          <w:fldChar w:fldCharType="separate"/>
        </w:r>
        <w:r>
          <w:t>18</w:t>
        </w:r>
        <w:r>
          <w:fldChar w:fldCharType="end"/>
        </w:r>
      </w:hyperlink>
    </w:p>
    <w:p>
      <w:pPr>
        <w:pStyle w:val="TOC2"/>
        <w:tabs>
          <w:tab w:val="right" w:leader="dot" w:pos="9072"/>
        </w:tabs>
      </w:pPr>
      <w:hyperlink w:anchor="_LarkToc00045" w:history="1">
        <w:r>
          <w:t>7.6 知识工程落地：K1 Wiki 编译层</w:t>
        </w:r>
        <w:r>
          <w:tab/>
        </w:r>
        <w:r>
          <w:fldChar w:fldCharType="begin"/>
        </w:r>
        <w:r>
          <w:instrText xml:space="preserve"> PAGEREF _LarkToc00045 \h </w:instrText>
        </w:r>
        <w:r>
          <w:fldChar w:fldCharType="separate"/>
        </w:r>
        <w:r>
          <w:t>18</w:t>
        </w:r>
        <w:r>
          <w:fldChar w:fldCharType="end"/>
        </w:r>
      </w:hyperlink>
    </w:p>
    <w:p>
      <w:pPr>
        <w:pStyle w:val="TOC2"/>
        <w:tabs>
          <w:tab w:val="right" w:leader="dot" w:pos="9072"/>
        </w:tabs>
      </w:pPr>
      <w:hyperlink w:anchor="_LarkToc00046" w:history="1">
        <w:r>
          <w:t>7.7 本地 AI 中枢（P0 已落地）</w:t>
        </w:r>
        <w:r>
          <w:tab/>
        </w:r>
        <w:r>
          <w:fldChar w:fldCharType="begin"/>
        </w:r>
        <w:r>
          <w:instrText xml:space="preserve"> PAGEREF _LarkToc00046 \h </w:instrText>
        </w:r>
        <w:r>
          <w:fldChar w:fldCharType="separate"/>
        </w:r>
        <w:r>
          <w:t>19</w:t>
        </w:r>
        <w:r>
          <w:fldChar w:fldCharType="end"/>
        </w:r>
      </w:hyperlink>
    </w:p>
    <w:p>
      <w:pPr>
        <w:pStyle w:val="TOC2"/>
        <w:tabs>
          <w:tab w:val="right" w:leader="dot" w:pos="9072"/>
        </w:tabs>
      </w:pPr>
      <w:hyperlink w:anchor="_LarkToc00047" w:history="1">
        <w:r>
          <w:t>7.8 AI 数据工厂（P1–P3 已落地）：平台核心 IP</w:t>
        </w:r>
        <w:r>
          <w:tab/>
        </w:r>
        <w:r>
          <w:fldChar w:fldCharType="begin"/>
        </w:r>
        <w:r>
          <w:instrText xml:space="preserve"> PAGEREF _LarkToc00047 \h </w:instrText>
        </w:r>
        <w:r>
          <w:fldChar w:fldCharType="separate"/>
        </w:r>
        <w:r>
          <w:t>19</w:t>
        </w:r>
        <w:r>
          <w:fldChar w:fldCharType="end"/>
        </w:r>
      </w:hyperlink>
    </w:p>
    <w:p>
      <w:pPr>
        <w:pStyle w:val="TOC2"/>
        <w:tabs>
          <w:tab w:val="right" w:leader="dot" w:pos="9072"/>
        </w:tabs>
      </w:pPr>
      <w:hyperlink w:anchor="_LarkToc00048" w:history="1">
        <w:r>
          <w:t>7.9 扫描件视觉解析（Mac 端）实测关键结论</w:t>
        </w:r>
        <w:r>
          <w:tab/>
        </w:r>
        <w:r>
          <w:fldChar w:fldCharType="begin"/>
        </w:r>
        <w:r>
          <w:instrText xml:space="preserve"> PAGEREF _LarkToc00048 \h </w:instrText>
        </w:r>
        <w:r>
          <w:fldChar w:fldCharType="separate"/>
        </w:r>
        <w:r>
          <w:t>20</w:t>
        </w:r>
        <w:r>
          <w:fldChar w:fldCharType="end"/>
        </w:r>
      </w:hyperlink>
    </w:p>
    <w:p>
      <w:pPr>
        <w:pStyle w:val="TOC2"/>
        <w:tabs>
          <w:tab w:val="right" w:leader="dot" w:pos="9072"/>
        </w:tabs>
      </w:pPr>
      <w:hyperlink w:anchor="_LarkToc00049" w:history="1">
        <w:r>
          <w:t>7.10 四大引擎与行业模板</w:t>
        </w:r>
        <w:r>
          <w:tab/>
        </w:r>
        <w:r>
          <w:fldChar w:fldCharType="begin"/>
        </w:r>
        <w:r>
          <w:instrText xml:space="preserve"> PAGEREF _LarkToc00049 \h </w:instrText>
        </w:r>
        <w:r>
          <w:fldChar w:fldCharType="separate"/>
        </w:r>
        <w:r>
          <w:t>20</w:t>
        </w:r>
        <w:r>
          <w:fldChar w:fldCharType="end"/>
        </w:r>
      </w:hyperlink>
    </w:p>
    <w:p>
      <w:pPr>
        <w:pStyle w:val="TOC1"/>
        <w:tabs>
          <w:tab w:val="right" w:leader="dot" w:pos="9072"/>
        </w:tabs>
      </w:pPr>
      <w:hyperlink w:anchor="_LarkToc00050" w:history="1">
        <w:r>
          <w:t>第 8 章 工程实现与部署</w:t>
        </w:r>
        <w:r>
          <w:tab/>
        </w:r>
        <w:r>
          <w:fldChar w:fldCharType="begin"/>
        </w:r>
        <w:r>
          <w:instrText xml:space="preserve"> PAGEREF _LarkToc00050 \h </w:instrText>
        </w:r>
        <w:r>
          <w:fldChar w:fldCharType="separate"/>
        </w:r>
        <w:r>
          <w:t>20</w:t>
        </w:r>
        <w:r>
          <w:fldChar w:fldCharType="end"/>
        </w:r>
      </w:hyperlink>
    </w:p>
    <w:p>
      <w:pPr>
        <w:pStyle w:val="TOC2"/>
        <w:tabs>
          <w:tab w:val="right" w:leader="dot" w:pos="9072"/>
        </w:tabs>
      </w:pPr>
      <w:hyperlink w:anchor="_LarkToc00051" w:history="1">
        <w:r>
          <w:t>8.1 技术栈与 monorepo</w:t>
        </w:r>
        <w:r>
          <w:tab/>
        </w:r>
        <w:r>
          <w:fldChar w:fldCharType="begin"/>
        </w:r>
        <w:r>
          <w:instrText xml:space="preserve"> PAGEREF _LarkToc00051 \h </w:instrText>
        </w:r>
        <w:r>
          <w:fldChar w:fldCharType="separate"/>
        </w:r>
        <w:r>
          <w:t>20</w:t>
        </w:r>
        <w:r>
          <w:fldChar w:fldCharType="end"/>
        </w:r>
      </w:hyperlink>
    </w:p>
    <w:p>
      <w:pPr>
        <w:pStyle w:val="TOC2"/>
        <w:tabs>
          <w:tab w:val="right" w:leader="dot" w:pos="9072"/>
        </w:tabs>
      </w:pPr>
      <w:hyperlink w:anchor="_LarkToc00052" w:history="1">
        <w:r>
          <w:t>8.2 M0 工程骨架与内核机制</w:t>
        </w:r>
        <w:r>
          <w:tab/>
        </w:r>
        <w:r>
          <w:fldChar w:fldCharType="begin"/>
        </w:r>
        <w:r>
          <w:instrText xml:space="preserve"> PAGEREF _LarkToc00052 \h </w:instrText>
        </w:r>
        <w:r>
          <w:fldChar w:fldCharType="separate"/>
        </w:r>
        <w:r>
          <w:t>21</w:t>
        </w:r>
        <w:r>
          <w:fldChar w:fldCharType="end"/>
        </w:r>
      </w:hyperlink>
    </w:p>
    <w:p>
      <w:pPr>
        <w:pStyle w:val="TOC2"/>
        <w:tabs>
          <w:tab w:val="right" w:leader="dot" w:pos="9072"/>
        </w:tabs>
      </w:pPr>
      <w:hyperlink w:anchor="_LarkToc00053" w:history="1">
        <w:r>
          <w:t>8.3 M1–M5 实现与版本走查</w:t>
        </w:r>
        <w:r>
          <w:tab/>
        </w:r>
        <w:r>
          <w:fldChar w:fldCharType="begin"/>
        </w:r>
        <w:r>
          <w:instrText xml:space="preserve"> PAGEREF _LarkToc00053 \h </w:instrText>
        </w:r>
        <w:r>
          <w:fldChar w:fldCharType="separate"/>
        </w:r>
        <w:r>
          <w:t>22</w:t>
        </w:r>
        <w:r>
          <w:fldChar w:fldCharType="end"/>
        </w:r>
      </w:hyperlink>
    </w:p>
    <w:p>
      <w:pPr>
        <w:pStyle w:val="TOC2"/>
        <w:tabs>
          <w:tab w:val="right" w:leader="dot" w:pos="9072"/>
        </w:tabs>
      </w:pPr>
      <w:hyperlink w:anchor="_LarkToc00054" w:history="1">
        <w:r>
          <w:t>8.4 公网部署：零付费的“域名 + 免费托管 + 镜像”架构</w:t>
        </w:r>
        <w:r>
          <w:tab/>
        </w:r>
        <w:r>
          <w:fldChar w:fldCharType="begin"/>
        </w:r>
        <w:r>
          <w:instrText xml:space="preserve"> PAGEREF _LarkToc00054 \h </w:instrText>
        </w:r>
        <w:r>
          <w:fldChar w:fldCharType="separate"/>
        </w:r>
        <w:r>
          <w:t>22</w:t>
        </w:r>
        <w:r>
          <w:fldChar w:fldCharType="end"/>
        </w:r>
      </w:hyperlink>
    </w:p>
    <w:p>
      <w:pPr>
        <w:pStyle w:val="TOC2"/>
        <w:tabs>
          <w:tab w:val="right" w:leader="dot" w:pos="9072"/>
        </w:tabs>
      </w:pPr>
      <w:hyperlink w:anchor="_LarkToc00055" w:history="1">
        <w:r>
          <w:t>8.5 演示数据与测试</w:t>
        </w:r>
        <w:r>
          <w:tab/>
        </w:r>
        <w:r>
          <w:fldChar w:fldCharType="begin"/>
        </w:r>
        <w:r>
          <w:instrText xml:space="preserve"> PAGEREF _LarkToc00055 \h </w:instrText>
        </w:r>
        <w:r>
          <w:fldChar w:fldCharType="separate"/>
        </w:r>
        <w:r>
          <w:t>23</w:t>
        </w:r>
        <w:r>
          <w:fldChar w:fldCharType="end"/>
        </w:r>
      </w:hyperlink>
    </w:p>
    <w:p>
      <w:pPr>
        <w:pStyle w:val="TOC2"/>
        <w:tabs>
          <w:tab w:val="right" w:leader="dot" w:pos="9072"/>
        </w:tabs>
      </w:pPr>
      <w:hyperlink w:anchor="_LarkToc00056" w:history="1">
        <w:r>
          <w:t>8.6 部署与运维文档沉淀</w:t>
        </w:r>
        <w:r>
          <w:tab/>
        </w:r>
        <w:r>
          <w:fldChar w:fldCharType="begin"/>
        </w:r>
        <w:r>
          <w:instrText xml:space="preserve"> PAGEREF _LarkToc00056 \h </w:instrText>
        </w:r>
        <w:r>
          <w:fldChar w:fldCharType="separate"/>
        </w:r>
        <w:r>
          <w:t>23</w:t>
        </w:r>
        <w:r>
          <w:fldChar w:fldCharType="end"/>
        </w:r>
      </w:hyperlink>
    </w:p>
    <w:p>
      <w:pPr>
        <w:pStyle w:val="TOC1"/>
        <w:tabs>
          <w:tab w:val="right" w:leader="dot" w:pos="9072"/>
        </w:tabs>
      </w:pPr>
      <w:hyperlink w:anchor="_LarkToc00057" w:history="1">
        <w:r>
          <w:t>第 9 章 过程方法论与关键经验</w:t>
        </w:r>
        <w:r>
          <w:tab/>
        </w:r>
        <w:r>
          <w:fldChar w:fldCharType="begin"/>
        </w:r>
        <w:r>
          <w:instrText xml:space="preserve"> PAGEREF _LarkToc00057 \h </w:instrText>
        </w:r>
        <w:r>
          <w:fldChar w:fldCharType="separate"/>
        </w:r>
        <w:r>
          <w:t>24</w:t>
        </w:r>
        <w:r>
          <w:fldChar w:fldCharType="end"/>
        </w:r>
      </w:hyperlink>
    </w:p>
    <w:p>
      <w:pPr>
        <w:pStyle w:val="TOC2"/>
        <w:tabs>
          <w:tab w:val="right" w:leader="dot" w:pos="9072"/>
        </w:tabs>
      </w:pPr>
      <w:hyperlink w:anchor="_LarkToc00058" w:history="1">
        <w:r>
          <w:t>9.1 严格的阶段闸门</w:t>
        </w:r>
        <w:r>
          <w:tab/>
        </w:r>
        <w:r>
          <w:fldChar w:fldCharType="begin"/>
        </w:r>
        <w:r>
          <w:instrText xml:space="preserve"> PAGEREF _LarkToc00058 \h </w:instrText>
        </w:r>
        <w:r>
          <w:fldChar w:fldCharType="separate"/>
        </w:r>
        <w:r>
          <w:t>24</w:t>
        </w:r>
        <w:r>
          <w:fldChar w:fldCharType="end"/>
        </w:r>
      </w:hyperlink>
    </w:p>
    <w:p>
      <w:pPr>
        <w:pStyle w:val="TOC2"/>
        <w:tabs>
          <w:tab w:val="right" w:leader="dot" w:pos="9072"/>
        </w:tabs>
      </w:pPr>
      <w:hyperlink w:anchor="_LarkToc00059" w:history="1">
        <w:r>
          <w:t>9.2 冻结与增量机制</w:t>
        </w:r>
        <w:r>
          <w:tab/>
        </w:r>
        <w:r>
          <w:fldChar w:fldCharType="begin"/>
        </w:r>
        <w:r>
          <w:instrText xml:space="preserve"> PAGEREF _LarkToc00059 \h </w:instrText>
        </w:r>
        <w:r>
          <w:fldChar w:fldCharType="separate"/>
        </w:r>
        <w:r>
          <w:t>24</w:t>
        </w:r>
        <w:r>
          <w:fldChar w:fldCharType="end"/>
        </w:r>
      </w:hyperlink>
    </w:p>
    <w:p>
      <w:pPr>
        <w:pStyle w:val="TOC2"/>
        <w:tabs>
          <w:tab w:val="right" w:leader="dot" w:pos="9072"/>
        </w:tabs>
      </w:pPr>
      <w:hyperlink w:anchor="_LarkToc00060" w:history="1">
        <w:r>
          <w:t>9.3 关键事故与复盘</w:t>
        </w:r>
        <w:r>
          <w:tab/>
        </w:r>
        <w:r>
          <w:fldChar w:fldCharType="begin"/>
        </w:r>
        <w:r>
          <w:instrText xml:space="preserve"> PAGEREF _LarkToc00060 \h </w:instrText>
        </w:r>
        <w:r>
          <w:fldChar w:fldCharType="separate"/>
        </w:r>
        <w:r>
          <w:t>24</w:t>
        </w:r>
        <w:r>
          <w:fldChar w:fldCharType="end"/>
        </w:r>
      </w:hyperlink>
    </w:p>
    <w:p>
      <w:pPr>
        <w:pStyle w:val="TOC2"/>
        <w:tabs>
          <w:tab w:val="right" w:leader="dot" w:pos="9072"/>
        </w:tabs>
      </w:pPr>
      <w:hyperlink w:anchor="_LarkToc00061" w:history="1">
        <w:r>
          <w:t>9.4 协作与验收经验</w:t>
        </w:r>
        <w:r>
          <w:tab/>
        </w:r>
        <w:r>
          <w:fldChar w:fldCharType="begin"/>
        </w:r>
        <w:r>
          <w:instrText xml:space="preserve"> PAGEREF _LarkToc00061 \h </w:instrText>
        </w:r>
        <w:r>
          <w:fldChar w:fldCharType="separate"/>
        </w:r>
        <w:r>
          <w:t>25</w:t>
        </w:r>
        <w:r>
          <w:fldChar w:fldCharType="end"/>
        </w:r>
      </w:hyperlink>
    </w:p>
    <w:p>
      <w:pPr>
        <w:pStyle w:val="TOC1"/>
        <w:tabs>
          <w:tab w:val="right" w:leader="dot" w:pos="9072"/>
        </w:tabs>
      </w:pPr>
      <w:hyperlink w:anchor="_LarkToc00062" w:history="1">
        <w:r>
          <w:t>第 10 章 当前状态与后续路线</w:t>
        </w:r>
        <w:r>
          <w:tab/>
        </w:r>
        <w:r>
          <w:fldChar w:fldCharType="begin"/>
        </w:r>
        <w:r>
          <w:instrText xml:space="preserve"> PAGEREF _LarkToc00062 \h </w:instrText>
        </w:r>
        <w:r>
          <w:fldChar w:fldCharType="separate"/>
        </w:r>
        <w:r>
          <w:t>25</w:t>
        </w:r>
        <w:r>
          <w:fldChar w:fldCharType="end"/>
        </w:r>
      </w:hyperlink>
    </w:p>
    <w:p>
      <w:pPr>
        <w:pStyle w:val="TOC2"/>
        <w:tabs>
          <w:tab w:val="right" w:leader="dot" w:pos="9072"/>
        </w:tabs>
      </w:pPr>
      <w:hyperlink w:anchor="_LarkToc00063" w:history="1">
        <w:r>
          <w:t>10.1 里程碑时间线</w:t>
        </w:r>
        <w:r>
          <w:tab/>
        </w:r>
        <w:r>
          <w:fldChar w:fldCharType="begin"/>
        </w:r>
        <w:r>
          <w:instrText xml:space="preserve"> PAGEREF _LarkToc00063 \h </w:instrText>
        </w:r>
        <w:r>
          <w:fldChar w:fldCharType="separate"/>
        </w:r>
        <w:r>
          <w:t>25</w:t>
        </w:r>
        <w:r>
          <w:fldChar w:fldCharType="end"/>
        </w:r>
      </w:hyperlink>
    </w:p>
    <w:p>
      <w:pPr>
        <w:pStyle w:val="TOC2"/>
        <w:tabs>
          <w:tab w:val="right" w:leader="dot" w:pos="9072"/>
        </w:tabs>
      </w:pPr>
      <w:hyperlink w:anchor="_LarkToc00064" w:history="1">
        <w:r>
          <w:t>10.2 公网演示入口</w:t>
        </w:r>
        <w:r>
          <w:tab/>
        </w:r>
        <w:r>
          <w:fldChar w:fldCharType="begin"/>
        </w:r>
        <w:r>
          <w:instrText xml:space="preserve"> PAGEREF _LarkToc00064 \h </w:instrText>
        </w:r>
        <w:r>
          <w:fldChar w:fldCharType="separate"/>
        </w:r>
        <w:r>
          <w:t>26</w:t>
        </w:r>
        <w:r>
          <w:fldChar w:fldCharType="end"/>
        </w:r>
      </w:hyperlink>
    </w:p>
    <w:p>
      <w:pPr>
        <w:pStyle w:val="TOC2"/>
        <w:tabs>
          <w:tab w:val="right" w:leader="dot" w:pos="9072"/>
        </w:tabs>
      </w:pPr>
      <w:hyperlink w:anchor="_LarkToc00065" w:history="1">
        <w:r>
          <w:t>10.3 V4 阶段门与后续路线</w:t>
        </w:r>
        <w:r>
          <w:tab/>
        </w:r>
        <w:r>
          <w:fldChar w:fldCharType="begin"/>
        </w:r>
        <w:r>
          <w:instrText xml:space="preserve"> PAGEREF _LarkToc00065 \h </w:instrText>
        </w:r>
        <w:r>
          <w:fldChar w:fldCharType="separate"/>
        </w:r>
        <w:r>
          <w:t>26</w:t>
        </w:r>
        <w:r>
          <w:fldChar w:fldCharType="end"/>
        </w:r>
      </w:hyperlink>
    </w:p>
    <w:p>
      <w:pPr>
        <w:pStyle w:val="TOC2"/>
        <w:tabs>
          <w:tab w:val="right" w:leader="dot" w:pos="9072"/>
        </w:tabs>
      </w:pPr>
      <w:hyperlink w:anchor="_LarkToc00066" w:history="1">
        <w:r>
          <w:t>10.4 未决事项（不阻塞当前成果）</w:t>
        </w:r>
        <w:r>
          <w:tab/>
        </w:r>
        <w:r>
          <w:fldChar w:fldCharType="begin"/>
        </w:r>
        <w:r>
          <w:instrText xml:space="preserve"> PAGEREF _LarkToc00066 \h </w:instrText>
        </w:r>
        <w:r>
          <w:fldChar w:fldCharType="separate"/>
        </w:r>
        <w:r>
          <w:t>27</w:t>
        </w:r>
        <w:r>
          <w:fldChar w:fldCharType="end"/>
        </w:r>
      </w:hyperlink>
    </w:p>
    <w:p>
      <w:pPr>
        <w:pStyle w:val="TOC2"/>
        <w:tabs>
          <w:tab w:val="right" w:leader="dot" w:pos="9072"/>
        </w:tabs>
      </w:pPr>
      <w:hyperlink w:anchor="_LarkToc00067" w:history="1">
        <w:r>
          <w:t>10.5 结语</w:t>
        </w:r>
        <w:r>
          <w:tab/>
        </w:r>
        <w:r>
          <w:fldChar w:fldCharType="begin"/>
        </w:r>
        <w:r>
          <w:instrText xml:space="preserve"> PAGEREF _LarkToc00067 \h </w:instrText>
        </w:r>
        <w:r>
          <w:fldChar w:fldCharType="separate"/>
        </w:r>
        <w:r>
          <w:t>27</w:t>
        </w:r>
        <w:r>
          <w:fldChar w:fldCharType="end"/>
        </w:r>
      </w:hyperlink>
    </w:p>
    <w:p>
      <w:pPr>
        <w:pStyle w:val="TOC1"/>
        <w:tabs>
          <w:tab w:val="right" w:leader="dot" w:pos="9072"/>
        </w:tabs>
      </w:pPr>
      <w:hyperlink w:anchor="_LarkToc00068" w:history="1">
        <w:r>
          <w:t>附录 A 产物索引</w:t>
        </w:r>
        <w:r>
          <w:tab/>
        </w:r>
        <w:r>
          <w:fldChar w:fldCharType="begin"/>
        </w:r>
        <w:r>
          <w:instrText xml:space="preserve"> PAGEREF _LarkToc00068 \h </w:instrText>
        </w:r>
        <w:r>
          <w:fldChar w:fldCharType="separate"/>
        </w:r>
        <w:r>
          <w:t>27</w:t>
        </w:r>
        <w:r>
          <w:fldChar w:fldCharType="end"/>
        </w:r>
      </w:hyperlink>
    </w:p>
    <w:p>
      <w:pPr>
        <w:pStyle w:val="TOC1"/>
        <w:tabs>
          <w:tab w:val="right" w:leader="dot" w:pos="9072"/>
        </w:tabs>
      </w:pPr>
      <w:hyperlink w:anchor="_LarkToc00069" w:history="1">
        <w:r>
          <w:t>附录 B 关键设计 Token 与默认参数</w:t>
        </w:r>
        <w:r>
          <w:tab/>
        </w:r>
        <w:r>
          <w:fldChar w:fldCharType="begin"/>
        </w:r>
        <w:r>
          <w:instrText xml:space="preserve"> PAGEREF _LarkToc00069 \h </w:instrText>
        </w:r>
        <w:r>
          <w:fldChar w:fldCharType="separate"/>
        </w:r>
        <w:r>
          <w:t>28</w:t>
        </w:r>
        <w:r>
          <w:fldChar w:fldCharType="end"/>
        </w:r>
      </w:hyperlink>
    </w:p>
    <w:p>
      <w:pPr>
        <w:pStyle w:val="TOC2"/>
        <w:tabs>
          <w:tab w:val="right" w:leader="dot" w:pos="9072"/>
        </w:tabs>
      </w:pPr>
      <w:hyperlink w:anchor="_LarkToc00070" w:history="1">
        <w:r>
          <w:t>B.1 设计 Token 摘要</w:t>
        </w:r>
        <w:r>
          <w:tab/>
        </w:r>
        <w:r>
          <w:fldChar w:fldCharType="begin"/>
        </w:r>
        <w:r>
          <w:instrText xml:space="preserve"> PAGEREF _LarkToc00070 \h </w:instrText>
        </w:r>
        <w:r>
          <w:fldChar w:fldCharType="separate"/>
        </w:r>
        <w:r>
          <w:t>28</w:t>
        </w:r>
        <w:r>
          <w:fldChar w:fldCharType="end"/>
        </w:r>
      </w:hyperlink>
    </w:p>
    <w:p>
      <w:pPr>
        <w:pStyle w:val="TOC2"/>
        <w:tabs>
          <w:tab w:val="right" w:leader="dot" w:pos="9072"/>
        </w:tabs>
      </w:pPr>
      <w:hyperlink w:anchor="_LarkToc00071" w:history="1">
        <w:r>
          <w:t>B.2 业务默认参数（影子期校准）</w:t>
        </w:r>
        <w:r>
          <w:tab/>
        </w:r>
        <w:r>
          <w:fldChar w:fldCharType="begin"/>
        </w:r>
        <w:r>
          <w:instrText xml:space="preserve"> PAGEREF _LarkToc00071 \h </w:instrText>
        </w:r>
        <w:r>
          <w:fldChar w:fldCharType="separate"/>
        </w:r>
        <w:r>
          <w:t>28</w:t>
        </w:r>
        <w:r>
          <w:fldChar w:fldCharType="end"/>
        </w:r>
      </w:hyperlink>
    </w:p>
    <w:p>
      <w:pPr>
        <w:pStyle w:val="TOC1"/>
        <w:tabs>
          <w:tab w:val="right" w:leader="dot" w:pos="9072"/>
        </w:tabs>
      </w:pPr>
      <w:hyperlink w:anchor="_LarkToc00072" w:history="1">
        <w:r>
          <w:t>附录 C 公网链接、仓库与环境</w:t>
        </w:r>
        <w:r>
          <w:tab/>
        </w:r>
        <w:r>
          <w:fldChar w:fldCharType="begin"/>
        </w:r>
        <w:r>
          <w:instrText xml:space="preserve"> PAGEREF _LarkToc00072 \h </w:instrText>
        </w:r>
        <w:r>
          <w:fldChar w:fldCharType="separate"/>
        </w:r>
        <w:r>
          <w:t>29</w:t>
        </w:r>
        <w:r>
          <w:fldChar w:fldCharType="end"/>
        </w:r>
      </w:hyperlink>
      <w:r>
        <w:fldChar w:fldCharType="end"/>
      </w:r>
    </w:p>
    <w:p>
      <w:pPr>
        <w:sectPr>
          <w:footerReference w:type="default" r:id="rId10"/>
          <w:pgSz w:w="11906" w:h="16838"/>
          <w:pgMar w:top="1417" w:right="1417" w:bottom="1417" w:left="1417" w:header="720" w:footer="720" w:gutter="0"/>
          <w:cols w:space="720"/>
          <w:docGrid w:linePitch="360"/>
        </w:sectPr>
      </w:pPr>
    </w:p>
    <w:p>
      <w:pPr>
        <w:pStyle w:val="Heading1"/>
      </w:pPr>
      <w:bookmarkStart w:id="1" w:name="_LarkToc00001"/>
      <w:r>
        <w:rPr>
          <w:rFonts w:ascii="Times New Roman" w:hAnsi="Times New Roman" w:eastAsia="黑体"/>
          <w:b/>
          <w:color w:val="1B2433"/>
          <w:sz w:val="32"/>
        </w:rPr>
        <w:t>第 1 章 项目总览</w:t>
      </w:r>
      <w:bookmarkEnd w:id="1"/>
    </w:p>
    <w:p>
      <w:pPr>
        <w:pStyle w:val="Heading2"/>
      </w:pPr>
      <w:bookmarkStart w:id="2" w:name="_LarkToc00002"/>
      <w:r>
        <w:rPr>
          <w:rFonts w:ascii="Times New Roman" w:hAnsi="Times New Roman" w:eastAsia="黑体"/>
          <w:b/>
          <w:color w:val="1B2433"/>
          <w:sz w:val="28"/>
        </w:rPr>
        <w:t>1.1 一句话定位</w:t>
      </w:r>
      <w:bookmarkEnd w:id="2"/>
    </w:p>
    <w:p>
      <w:pPr>
        <w:spacing w:line="360" w:lineRule="auto"/>
        <w:ind w:firstLine="480"/>
      </w:pPr>
      <w:r>
        <w:rPr>
          <w:rFonts w:ascii="Times New Roman" w:hAnsi="Times New Roman" w:eastAsia="宋体"/>
          <w:b w:val="0"/>
          <w:sz w:val="24"/>
        </w:rPr>
        <w:t>本项目以“打破移民行业壁垒”为起点，建设一个以可信项目资料为基础、以客户知情选择为起点、以可追踪交付为核心的透明化身份规划服务平台；在业务系统跑通后，进一步升维为一套以本地/混合 AI 为核心、把行业原始分散数据清洗治理为“可核验准确数据”的通用运营平台（Local AI Operations Platform）。移民是第一个完整跑通的样板行业，后续可复制到律师、金融、制造等行业。</w:t>
      </w:r>
    </w:p>
    <w:p>
      <w:pPr>
        <w:spacing w:line="360" w:lineRule="auto"/>
        <w:ind w:firstLine="480"/>
      </w:pPr>
      <w:r>
        <w:rPr>
          <w:rFonts w:ascii="Times New Roman" w:hAnsi="Times New Roman" w:eastAsia="宋体"/>
          <w:b w:val="0"/>
          <w:sz w:val="24"/>
        </w:rPr>
        <w:t>系统最终形态为“一个统一总后台 + 两个移动终端（客户服务端、顾问展业端，含手机与 iPad）+ 一个 B2B 服务方受控门户”，并在全部终端把 AI 置于底部中央的核心位置，形成以数据治理为底座、以 AI 为交互入口的运营体系。</w:t>
      </w:r>
    </w:p>
    <w:p>
      <w:pPr>
        <w:pStyle w:val="Heading2"/>
      </w:pPr>
      <w:bookmarkStart w:id="3" w:name="_LarkToc00003"/>
      <w:r>
        <w:rPr>
          <w:rFonts w:ascii="Times New Roman" w:hAnsi="Times New Roman" w:eastAsia="黑体"/>
          <w:b/>
          <w:color w:val="1B2433"/>
          <w:sz w:val="28"/>
        </w:rPr>
        <w:t>1.2 时间跨度与推进方式</w:t>
      </w:r>
      <w:bookmarkEnd w:id="3"/>
    </w:p>
    <w:p>
      <w:pPr>
        <w:spacing w:line="360" w:lineRule="auto"/>
        <w:ind w:firstLine="480"/>
      </w:pPr>
      <w:r>
        <w:rPr>
          <w:rFonts w:ascii="Times New Roman" w:hAnsi="Times New Roman" w:eastAsia="宋体"/>
          <w:b w:val="0"/>
          <w:sz w:val="24"/>
        </w:rPr>
        <w:t>项目为独立建设的产品工程，承载主体以后续实际运营公司为准，本文档不绑定具体公司。项目自 2026 年 9 月 18 日形成第一版产品逻辑文档（V1）起，至 2026 年 10 月 9 日完成 Mac 端视觉加固并冻结，历时约三周，经历了方案、功能、原型、UI、技术架构、研发级 PRD、代码开发、公网上线、持久化、AI 深度升级、数据工厂、本地 AI 部署等完整阶段。</w:t>
      </w:r>
    </w:p>
    <w:p>
      <w:pPr>
        <w:spacing w:line="360" w:lineRule="auto"/>
        <w:ind w:firstLine="480"/>
      </w:pPr>
      <w:r>
        <w:rPr>
          <w:rFonts w:ascii="Times New Roman" w:hAnsi="Times New Roman" w:eastAsia="宋体"/>
          <w:b w:val="0"/>
          <w:sz w:val="24"/>
        </w:rPr>
        <w:t>项目坚持“先方案、再原型、再 UI、最后代码”的严格次序，每阶段成果均冻结、打标签并纳入 Git 版本管理；所有可演示成果通过公网地址 https://demo.hbwhere.com 呈现，代码同时托管于 Gitee 与 GitHub。</w:t>
      </w:r>
    </w:p>
    <w:p>
      <w:pPr>
        <w:pStyle w:val="Heading2"/>
      </w:pPr>
      <w:bookmarkStart w:id="4" w:name="_LarkToc00004"/>
      <w:r>
        <w:rPr>
          <w:rFonts w:ascii="Times New Roman" w:hAnsi="Times New Roman" w:eastAsia="黑体"/>
          <w:b/>
          <w:color w:val="1B2433"/>
          <w:sz w:val="28"/>
        </w:rPr>
        <w:t>1.3 当前成果一览</w:t>
      </w:r>
      <w:bookmarkEnd w:id="4"/>
    </w:p>
    <w:p>
      <w:pPr>
        <w:pStyle w:val="ListBullet"/>
        <w:spacing w:line="336" w:lineRule="auto" w:after="40"/>
      </w:pPr>
      <w:r>
        <w:rPr>
          <w:rFonts w:ascii="Times New Roman" w:hAnsi="Times New Roman" w:eastAsia="宋体"/>
          <w:b/>
          <w:sz w:val="24"/>
        </w:rPr>
        <w:t>终端层：</w:t>
      </w:r>
      <w:r>
        <w:rPr>
          <w:rFonts w:ascii="Times New Roman" w:hAnsi="Times New Roman" w:eastAsia="宋体"/>
          <w:b w:val="0"/>
          <w:sz w:val="24"/>
        </w:rPr>
        <w:t>已上线五端高保真 UI 与实时可操作系统：客户端、顾问展业端（手机/iPad）、总后台管理中心、服务方门户，页面统一、可点击、可操作。</w:t>
      </w:r>
    </w:p>
    <w:p>
      <w:pPr>
        <w:pStyle w:val="ListBullet"/>
        <w:spacing w:line="336" w:lineRule="auto" w:after="40"/>
      </w:pPr>
      <w:r>
        <w:rPr>
          <w:rFonts w:ascii="Times New Roman" w:hAnsi="Times New Roman" w:eastAsia="宋体"/>
          <w:b/>
          <w:sz w:val="24"/>
        </w:rPr>
        <w:t>业务层：</w:t>
      </w:r>
      <w:r>
        <w:rPr>
          <w:rFonts w:ascii="Times New Roman" w:hAnsi="Times New Roman" w:eastAsia="宋体"/>
          <w:b w:val="0"/>
          <w:sz w:val="24"/>
        </w:rPr>
        <w:t>完成研发级 PRD M1–M5 全部代码，覆盖内容治理、获客、方案、订单、合同、支付、案件、材料、时间线、家庭授权、通知、供给准入、门户、交接、工单、佣金、合规事件、注销、邀请等全业务闭环。</w:t>
      </w:r>
    </w:p>
    <w:p>
      <w:pPr>
        <w:pStyle w:val="ListBullet"/>
        <w:spacing w:line="336" w:lineRule="auto" w:after="40"/>
      </w:pPr>
      <w:r>
        <w:rPr>
          <w:rFonts w:ascii="Times New Roman" w:hAnsi="Times New Roman" w:eastAsia="宋体"/>
          <w:b/>
          <w:sz w:val="24"/>
        </w:rPr>
        <w:t>AI 层：</w:t>
      </w:r>
      <w:r>
        <w:rPr>
          <w:rFonts w:ascii="Times New Roman" w:hAnsi="Times New Roman" w:eastAsia="宋体"/>
          <w:b w:val="0"/>
          <w:sz w:val="24"/>
        </w:rPr>
        <w:t>AI 能力三端全部落地：客户端 AI 为底部中央凸起主 Tab，顾问端 AI 为锚定客户的对话式工作台，总后台为知识与运营中心；采用“Grounded 确定性 + 本地 LLM 混合”架构，事实由系统供给、语言由模型组织、决定由人作出。</w:t>
      </w:r>
    </w:p>
    <w:p>
      <w:pPr>
        <w:pStyle w:val="ListBullet"/>
        <w:spacing w:line="336" w:lineRule="auto" w:after="40"/>
      </w:pPr>
      <w:r>
        <w:rPr>
          <w:rFonts w:ascii="Times New Roman" w:hAnsi="Times New Roman" w:eastAsia="宋体"/>
          <w:b/>
          <w:sz w:val="24"/>
        </w:rPr>
        <w:t>数据工厂：</w:t>
      </w:r>
      <w:r>
        <w:rPr>
          <w:rFonts w:ascii="Times New Roman" w:hAnsi="Times New Roman" w:eastAsia="宋体"/>
          <w:b w:val="0"/>
          <w:sz w:val="24"/>
        </w:rPr>
        <w:t>完成本地 AI 运营平台 V4 战略与 P0–P3 落地：模型注册表与路由、评测红队、AI 数据工厂七工段、PDF/扫描件解析、本地 LLM 混合抽取、文件夹与邮箱自动采集、Qwen-VL 视觉转录与逐页校对。</w:t>
      </w:r>
    </w:p>
    <w:p>
      <w:pPr>
        <w:pStyle w:val="ListBullet"/>
        <w:spacing w:line="336" w:lineRule="auto" w:after="40"/>
      </w:pPr>
      <w:r>
        <w:rPr>
          <w:rFonts w:ascii="Times New Roman" w:hAnsi="Times New Roman" w:eastAsia="宋体"/>
          <w:b/>
          <w:sz w:val="24"/>
        </w:rPr>
        <w:t>部署层：</w:t>
      </w:r>
      <w:r>
        <w:rPr>
          <w:rFonts w:ascii="Times New Roman" w:hAnsi="Times New Roman" w:eastAsia="宋体"/>
          <w:b w:val="0"/>
          <w:sz w:val="24"/>
        </w:rPr>
        <w:t>Render 免费 API + Cloudflare Pages 免费静态托管 + Neon PostgreSQL 免费数据库 + Gitee/GitHub 代码管理，零付费实现公网实时演示；PWA 可安装到手机主屏幕与电脑桌面。</w:t>
      </w:r>
    </w:p>
    <w:p>
      <w:pPr>
        <w:pStyle w:val="ListBullet"/>
        <w:spacing w:line="336" w:lineRule="auto" w:after="40"/>
      </w:pPr>
      <w:r>
        <w:rPr>
          <w:rFonts w:ascii="Times New Roman" w:hAnsi="Times New Roman" w:eastAsia="宋体"/>
          <w:b/>
          <w:sz w:val="24"/>
        </w:rPr>
        <w:t>质量层：</w:t>
      </w:r>
      <w:r>
        <w:rPr>
          <w:rFonts w:ascii="Times New Roman" w:hAnsi="Times New Roman" w:eastAsia="宋体"/>
          <w:b w:val="0"/>
          <w:sz w:val="24"/>
        </w:rPr>
        <w:t>自动化测试基线 160 项（158 通过、2 项跳过、0 失败），全链路公网走查零控制台错误。</w:t>
      </w:r>
    </w:p>
    <w:p>
      <w:pPr>
        <w:pStyle w:val="Heading2"/>
      </w:pPr>
      <w:bookmarkStart w:id="5" w:name="_LarkToc00005"/>
      <w:r>
        <w:rPr>
          <w:rFonts w:ascii="Times New Roman" w:hAnsi="Times New Roman" w:eastAsia="黑体"/>
          <w:b/>
          <w:color w:val="1B2433"/>
          <w:sz w:val="28"/>
        </w:rPr>
        <w:t>1.4 关键里程碑指标</w:t>
      </w:r>
      <w:bookmarkEnd w:id="5"/>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63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维度</w:t>
            </w:r>
          </w:p>
        </w:tc>
        <w:tc>
          <w:tcPr>
            <w:tcW w:type="dxa" w:w="217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数值 / 状态</w:t>
            </w:r>
          </w:p>
        </w:tc>
        <w:tc>
          <w:tcPr>
            <w:tcW w:type="dxa" w:w="526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说明</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业务对象</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20+ 个</w:t>
            </w:r>
          </w:p>
        </w:tc>
        <w:tc>
          <w:tcPr>
            <w:tcW w:type="dxa" w:w="526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项目、授权、需求、方案、订单、合同、付款、案件、任务、材料、时间线、工单、佣金、合规事件、知识、数据工厂批次等</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有限状态机</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20+ 台</w:t>
            </w:r>
          </w:p>
        </w:tc>
        <w:tc>
          <w:tcPr>
            <w:tcW w:type="dxa" w:w="526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集中在 @tip/core，配套金额铁律、违禁词库、初评引擎、审计哈希链</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PRD 里程碑</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M1–M5</w:t>
            </w:r>
          </w:p>
        </w:tc>
        <w:tc>
          <w:tcPr>
            <w:tcW w:type="dxa" w:w="526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全部冻结（prd-frozen-v1.0）并完成代码实现</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后台模块</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A00–A14</w:t>
            </w:r>
          </w:p>
        </w:tc>
        <w:tc>
          <w:tcPr>
            <w:tcW w:type="dxa" w:w="526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工作台 + 内容/关系/财务/交付/合规/AI 中枢/数据工厂等</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高保真视图</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100+ 屏</w:t>
            </w:r>
          </w:p>
        </w:tc>
        <w:tc>
          <w:tcPr>
            <w:tcW w:type="dxa" w:w="526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客户端 34、顾问端 27、iPad、总后台、门户及 AI 高保真</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AI 终端形态</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3 端 + 中央凸起</w:t>
            </w:r>
          </w:p>
        </w:tc>
        <w:tc>
          <w:tcPr>
            <w:tcW w:type="dxa" w:w="526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客户端/顾问端 AI 均为底部中央主 Tab；后台 A13/A14</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自动化测试</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160 项</w:t>
            </w:r>
          </w:p>
        </w:tc>
        <w:tc>
          <w:tcPr>
            <w:tcW w:type="dxa" w:w="526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158 通过 / 2 跳过 / 0 失败</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示例数据</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10 份示例资料</w:t>
            </w:r>
          </w:p>
        </w:tc>
        <w:tc>
          <w:tcPr>
            <w:tcW w:type="dxa" w:w="526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全部经数据工厂发布为 CAN-0001..0010</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公网地址</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demo.hbwhere.com</w:t>
            </w:r>
          </w:p>
        </w:tc>
        <w:tc>
          <w:tcPr>
            <w:tcW w:type="dxa" w:w="526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五端静态高保真 + 四端实时系统 + AI 页面</w:t>
            </w:r>
          </w:p>
        </w:tc>
      </w:tr>
    </w:tbl>
    <w:p>
      <w:pPr>
        <w:spacing w:after="40"/>
      </w:pPr>
    </w:p>
    <w:p>
      <w:pPr>
        <w:spacing w:line="360" w:lineRule="auto"/>
      </w:pPr>
      <w:r>
        <w:rPr>
          <w:rFonts w:ascii="Times New Roman" w:hAnsi="Times New Roman" w:eastAsia="宋体"/>
          <w:b w:val="0"/>
          <w:color w:val="5E6B7E"/>
          <w:sz w:val="21"/>
        </w:rPr>
        <w:t>注：上述数值为 2026 年 10 月 9 日冻结时的工程基线，随版本迭代持续更新。</w:t>
      </w:r>
    </w:p>
    <w:p>
      <w:pPr>
        <w:pStyle w:val="Heading2"/>
      </w:pPr>
      <w:bookmarkStart w:id="6" w:name="_LarkToc00006"/>
      <w:r>
        <w:rPr>
          <w:rFonts w:ascii="Times New Roman" w:hAnsi="Times New Roman" w:eastAsia="黑体"/>
          <w:b/>
          <w:color w:val="1B2433"/>
          <w:sz w:val="28"/>
        </w:rPr>
        <w:t>1.5 本文档的使用方法</w:t>
      </w:r>
      <w:bookmarkEnd w:id="6"/>
    </w:p>
    <w:p>
      <w:pPr>
        <w:spacing w:line="360" w:lineRule="auto"/>
        <w:ind w:firstLine="480"/>
      </w:pPr>
      <w:r>
        <w:rPr>
          <w:rFonts w:ascii="Times New Roman" w:hAnsi="Times New Roman" w:eastAsia="宋体"/>
          <w:b w:val="0"/>
          <w:sz w:val="24"/>
        </w:rPr>
        <w:t>本文档是项目的“总索引与全过程记录”，任何新成员或接手团队在任何时点加载本文档，都可按以下顺序理解项目：</w:t>
      </w:r>
    </w:p>
    <w:p>
      <w:pPr>
        <w:pStyle w:val="ListNumber"/>
        <w:spacing w:line="336" w:lineRule="auto" w:after="40"/>
      </w:pPr>
      <w:r>
        <w:rPr>
          <w:rFonts w:ascii="Times New Roman" w:hAnsi="Times New Roman" w:eastAsia="宋体"/>
          <w:b w:val="0"/>
          <w:sz w:val="24"/>
        </w:rPr>
        <w:t>第 2–3 章理解“为什么做、做成什么、版本如何演进”；</w:t>
      </w:r>
    </w:p>
    <w:p>
      <w:pPr>
        <w:pStyle w:val="ListNumber"/>
        <w:spacing w:line="336" w:lineRule="auto" w:after="40"/>
      </w:pPr>
      <w:r>
        <w:rPr>
          <w:rFonts w:ascii="Times New Roman" w:hAnsi="Times New Roman" w:eastAsia="宋体"/>
          <w:b w:val="0"/>
          <w:sz w:val="24"/>
        </w:rPr>
        <w:t>第 4 章理解调研与对标依据；</w:t>
      </w:r>
    </w:p>
    <w:p>
      <w:pPr>
        <w:pStyle w:val="ListNumber"/>
        <w:spacing w:line="336" w:lineRule="auto" w:after="40"/>
      </w:pPr>
      <w:r>
        <w:rPr>
          <w:rFonts w:ascii="Times New Roman" w:hAnsi="Times New Roman" w:eastAsia="宋体"/>
          <w:b w:val="0"/>
          <w:sz w:val="24"/>
        </w:rPr>
        <w:t>第 5 章理解完整产品与业务规则；</w:t>
      </w:r>
    </w:p>
    <w:p>
      <w:pPr>
        <w:pStyle w:val="ListNumber"/>
        <w:spacing w:line="336" w:lineRule="auto" w:after="40"/>
      </w:pPr>
      <w:r>
        <w:rPr>
          <w:rFonts w:ascii="Times New Roman" w:hAnsi="Times New Roman" w:eastAsia="宋体"/>
          <w:b w:val="0"/>
          <w:sz w:val="24"/>
        </w:rPr>
        <w:t>第 6 章理解视觉与页面体系；</w:t>
      </w:r>
    </w:p>
    <w:p>
      <w:pPr>
        <w:pStyle w:val="ListNumber"/>
        <w:spacing w:line="336" w:lineRule="auto" w:after="40"/>
      </w:pPr>
      <w:r>
        <w:rPr>
          <w:rFonts w:ascii="Times New Roman" w:hAnsi="Times New Roman" w:eastAsia="宋体"/>
          <w:b w:val="0"/>
          <w:sz w:val="24"/>
        </w:rPr>
        <w:t>第 7 章理解 AI 产品设计与本地 AI 技术路线；</w:t>
      </w:r>
    </w:p>
    <w:p>
      <w:pPr>
        <w:pStyle w:val="ListNumber"/>
        <w:spacing w:line="336" w:lineRule="auto" w:after="40"/>
      </w:pPr>
      <w:r>
        <w:rPr>
          <w:rFonts w:ascii="Times New Roman" w:hAnsi="Times New Roman" w:eastAsia="宋体"/>
          <w:b w:val="0"/>
          <w:sz w:val="24"/>
        </w:rPr>
        <w:t>第 8 章理解工程实现、部署与数据；</w:t>
      </w:r>
    </w:p>
    <w:p>
      <w:pPr>
        <w:pStyle w:val="ListNumber"/>
        <w:spacing w:line="336" w:lineRule="auto" w:after="40"/>
      </w:pPr>
      <w:r>
        <w:rPr>
          <w:rFonts w:ascii="Times New Roman" w:hAnsi="Times New Roman" w:eastAsia="宋体"/>
          <w:b w:val="0"/>
          <w:sz w:val="24"/>
        </w:rPr>
        <w:t>第 9–10 章理解过程方法论、当前状态与后续路线；</w:t>
      </w:r>
    </w:p>
    <w:p>
      <w:pPr>
        <w:pStyle w:val="ListNumber"/>
        <w:spacing w:line="336" w:lineRule="auto" w:after="40"/>
      </w:pPr>
      <w:r>
        <w:rPr>
          <w:rFonts w:ascii="Times New Roman" w:hAnsi="Times New Roman" w:eastAsia="宋体"/>
          <w:b w:val="0"/>
          <w:sz w:val="24"/>
        </w:rPr>
        <w:t>附录提供产物索引、设计 Token、公网链接与仓库地址，可据以回到原始文件。</w:t>
      </w:r>
    </w:p>
    <w:p>
      <w:pPr>
        <w:spacing w:line="360" w:lineRule="auto"/>
        <w:ind w:firstLine="480"/>
      </w:pPr>
      <w:r>
        <w:rPr>
          <w:rFonts w:ascii="Times New Roman" w:hAnsi="Times New Roman" w:eastAsia="宋体"/>
          <w:b w:val="0"/>
          <w:sz w:val="24"/>
        </w:rPr>
        <w:t>文中所有结论均可在项目仓库对应目录（01-产品规划、02-功能设计、03-原型设计、04-UI设计、05-代码、06-发布、07-AI产品设计）与 Git 提交历史中找到出处；文中引用的版本号、日期、冻结标签均与仓库一致。</w:t>
      </w:r>
    </w:p>
    <w:p>
      <w:pPr>
        <w:pStyle w:val="Heading1"/>
      </w:pPr>
      <w:bookmarkStart w:id="7" w:name="_LarkToc00007"/>
      <w:r>
        <w:rPr>
          <w:rFonts w:ascii="Times New Roman" w:hAnsi="Times New Roman" w:eastAsia="黑体"/>
          <w:b/>
          <w:color w:val="1B2433"/>
          <w:sz w:val="32"/>
        </w:rPr>
        <w:t>第 2 章 立项背景与行业问题</w:t>
      </w:r>
      <w:bookmarkEnd w:id="7"/>
    </w:p>
    <w:p>
      <w:pPr>
        <w:pStyle w:val="Heading2"/>
      </w:pPr>
      <w:bookmarkStart w:id="8" w:name="_LarkToc00008"/>
      <w:r>
        <w:rPr>
          <w:rFonts w:ascii="Times New Roman" w:hAnsi="Times New Roman" w:eastAsia="黑体"/>
          <w:b/>
          <w:color w:val="1B2433"/>
          <w:sz w:val="28"/>
        </w:rPr>
        <w:t>2.1 行业痛点：壁垒来自信息、费用与过程的不透明</w:t>
      </w:r>
      <w:bookmarkEnd w:id="8"/>
    </w:p>
    <w:p>
      <w:pPr>
        <w:spacing w:line="360" w:lineRule="auto"/>
        <w:ind w:firstLine="480"/>
      </w:pPr>
      <w:r>
        <w:rPr>
          <w:rFonts w:ascii="Times New Roman" w:hAnsi="Times New Roman" w:eastAsia="宋体"/>
          <w:b w:val="0"/>
          <w:sz w:val="24"/>
        </w:rPr>
        <w:t>跨境身份规划（移民）行业长期存在客户与服务方之间严重的信息不对称，传统机构的盈利相当部分建立在信息差之上。项目在立项阶段识别出五类核心痛点：</w:t>
      </w:r>
    </w:p>
    <w:p>
      <w:pPr>
        <w:pStyle w:val="ListBullet"/>
        <w:spacing w:line="336" w:lineRule="auto" w:after="40"/>
      </w:pPr>
      <w:r>
        <w:rPr>
          <w:rFonts w:ascii="Times New Roman" w:hAnsi="Times New Roman" w:eastAsia="宋体"/>
          <w:b/>
          <w:sz w:val="24"/>
        </w:rPr>
        <w:t>费用不透明：</w:t>
      </w:r>
      <w:r>
        <w:rPr>
          <w:rFonts w:ascii="Times New Roman" w:hAnsi="Times New Roman" w:eastAsia="宋体"/>
          <w:b w:val="0"/>
          <w:sz w:val="24"/>
        </w:rPr>
        <w:t>项目条件、政策口径、官方费用、服务费与第三方费用混在一起，客户无法分辨费用构成与收取方。</w:t>
      </w:r>
    </w:p>
    <w:p>
      <w:pPr>
        <w:pStyle w:val="ListBullet"/>
        <w:spacing w:line="336" w:lineRule="auto" w:after="40"/>
      </w:pPr>
      <w:r>
        <w:rPr>
          <w:rFonts w:ascii="Times New Roman" w:hAnsi="Times New Roman" w:eastAsia="宋体"/>
          <w:b/>
          <w:sz w:val="24"/>
        </w:rPr>
        <w:t>承诺不真实：</w:t>
      </w:r>
      <w:r>
        <w:rPr>
          <w:rFonts w:ascii="Times New Roman" w:hAnsi="Times New Roman" w:eastAsia="宋体"/>
          <w:b w:val="0"/>
          <w:sz w:val="24"/>
        </w:rPr>
        <w:t>参考周期被包装成承诺获批时间，初评被包装成资格结论，材料“已审核”与“已递交官方”被混为一谈。</w:t>
      </w:r>
    </w:p>
    <w:p>
      <w:pPr>
        <w:pStyle w:val="ListBullet"/>
        <w:spacing w:line="336" w:lineRule="auto" w:after="40"/>
      </w:pPr>
      <w:r>
        <w:rPr>
          <w:rFonts w:ascii="Times New Roman" w:hAnsi="Times New Roman" w:eastAsia="宋体"/>
          <w:b/>
          <w:sz w:val="24"/>
        </w:rPr>
        <w:t>过程不可见：</w:t>
      </w:r>
      <w:r>
        <w:rPr>
          <w:rFonts w:ascii="Times New Roman" w:hAnsi="Times New Roman" w:eastAsia="宋体"/>
          <w:b w:val="0"/>
          <w:sz w:val="24"/>
        </w:rPr>
        <w:t>客户在签约后看不到材料、任务、官方节点的真实进展，进度只能等待顾问口头通知。</w:t>
      </w:r>
    </w:p>
    <w:p>
      <w:pPr>
        <w:pStyle w:val="ListBullet"/>
        <w:spacing w:line="336" w:lineRule="auto" w:after="40"/>
      </w:pPr>
      <w:r>
        <w:rPr>
          <w:rFonts w:ascii="Times New Roman" w:hAnsi="Times New Roman" w:eastAsia="宋体"/>
          <w:b/>
          <w:sz w:val="24"/>
        </w:rPr>
        <w:t>数据脏散乱：</w:t>
      </w:r>
      <w:r>
        <w:rPr>
          <w:rFonts w:ascii="Times New Roman" w:hAnsi="Times New Roman" w:eastAsia="宋体"/>
          <w:b w:val="0"/>
          <w:sz w:val="24"/>
        </w:rPr>
        <w:t>项目资料、费用表、合同、表格、政策文件分散在邮件、网盘、微信群与个人电脑中，口径不一、版本混乱、无证据溯源。</w:t>
      </w:r>
    </w:p>
    <w:p>
      <w:pPr>
        <w:pStyle w:val="ListBullet"/>
        <w:spacing w:line="336" w:lineRule="auto" w:after="40"/>
      </w:pPr>
      <w:r>
        <w:rPr>
          <w:rFonts w:ascii="Times New Roman" w:hAnsi="Times New Roman" w:eastAsia="宋体"/>
          <w:b/>
          <w:sz w:val="24"/>
        </w:rPr>
        <w:t>归因与责任不清：</w:t>
      </w:r>
      <w:r>
        <w:rPr>
          <w:rFonts w:ascii="Times New Roman" w:hAnsi="Times New Roman" w:eastAsia="宋体"/>
          <w:b w:val="0"/>
          <w:sz w:val="24"/>
        </w:rPr>
        <w:t>分享扫码或首次点击即“永久占有”客户，平台外私下成交、私收款、责任主体不清，投诉无门。</w:t>
      </w:r>
    </w:p>
    <w:p>
      <w:pPr>
        <w:pStyle w:val="Heading2"/>
      </w:pPr>
      <w:bookmarkStart w:id="9" w:name="_LarkToc00009"/>
      <w:r>
        <w:rPr>
          <w:rFonts w:ascii="Times New Roman" w:hAnsi="Times New Roman" w:eastAsia="黑体"/>
          <w:b/>
          <w:color w:val="1B2433"/>
          <w:sz w:val="28"/>
        </w:rPr>
        <w:t>2.2 破局思路：用“核验与责任体系”替代信息差</w:t>
      </w:r>
      <w:bookmarkEnd w:id="9"/>
    </w:p>
    <w:p>
      <w:pPr>
        <w:spacing w:line="360" w:lineRule="auto"/>
        <w:ind w:firstLine="480"/>
      </w:pPr>
      <w:r>
        <w:rPr>
          <w:rFonts w:ascii="Times New Roman" w:hAnsi="Times New Roman" w:eastAsia="宋体"/>
          <w:b w:val="0"/>
          <w:sz w:val="24"/>
        </w:rPr>
        <w:t>平台不以隐藏项目条件和费用为价值，而以信息核验、需求理解、服务匹配、过程组织、交付监督和异常处理提供价值。立项即确立三条不可妥协的原则：</w:t>
      </w:r>
    </w:p>
    <w:p>
      <w:pPr>
        <w:pStyle w:val="ListNumber"/>
        <w:spacing w:line="336" w:lineRule="auto" w:after="40"/>
      </w:pPr>
      <w:r>
        <w:rPr>
          <w:rFonts w:ascii="Times New Roman" w:hAnsi="Times New Roman" w:eastAsia="宋体"/>
          <w:b w:val="0"/>
          <w:sz w:val="24"/>
        </w:rPr>
        <w:t>不把预估写成保证：初评不等于资格确认，参考周期不等于承诺获批时间；</w:t>
      </w:r>
    </w:p>
    <w:p>
      <w:pPr>
        <w:pStyle w:val="ListNumber"/>
        <w:spacing w:line="336" w:lineRule="auto" w:after="40"/>
      </w:pPr>
      <w:r>
        <w:rPr>
          <w:rFonts w:ascii="Times New Roman" w:hAnsi="Times New Roman" w:eastAsia="宋体"/>
          <w:b w:val="0"/>
          <w:sz w:val="24"/>
        </w:rPr>
        <w:t>不把后台动作写成官方动作：材料已审核不等于已递交，已递交不等于官方受理；</w:t>
      </w:r>
    </w:p>
    <w:p>
      <w:pPr>
        <w:pStyle w:val="ListNumber"/>
        <w:spacing w:line="336" w:lineRule="auto" w:after="40"/>
      </w:pPr>
      <w:r>
        <w:rPr>
          <w:rFonts w:ascii="Times New Roman" w:hAnsi="Times New Roman" w:eastAsia="宋体"/>
          <w:b w:val="0"/>
          <w:sz w:val="24"/>
        </w:rPr>
        <w:t>不把信息透明理解为隐私公开：费用与服务规则可解释，个人资料按目的和授权可见。</w:t>
      </w:r>
    </w:p>
    <w:p>
      <w:pPr>
        <w:spacing w:line="360" w:lineRule="auto"/>
        <w:ind w:firstLine="480"/>
      </w:pPr>
      <w:r>
        <w:rPr>
          <w:rFonts w:ascii="Times New Roman" w:hAnsi="Times New Roman" w:eastAsia="宋体"/>
          <w:b w:val="0"/>
          <w:sz w:val="24"/>
        </w:rPr>
        <w:t>在 V2 重规划中补充了第四条原则：每一项对客承诺必须配对一个可执行的控制动作和责任角色——找不到责任人或核验动作的承诺，不得出现在页面对客文案中。这条“承诺—控制配对”原则成为全部业务闸门的设计起点。</w:t>
      </w:r>
    </w:p>
    <w:p>
      <w:pPr>
        <w:pStyle w:val="Heading2"/>
      </w:pPr>
      <w:bookmarkStart w:id="10" w:name="_LarkToc00010"/>
      <w:r>
        <w:rPr>
          <w:rFonts w:ascii="Times New Roman" w:hAnsi="Times New Roman" w:eastAsia="黑体"/>
          <w:b/>
          <w:color w:val="1B2433"/>
          <w:sz w:val="28"/>
        </w:rPr>
        <w:t>2.3 商业与合规地基：G-P0 决策门（D1–D9）</w:t>
      </w:r>
      <w:bookmarkEnd w:id="10"/>
    </w:p>
    <w:p>
      <w:pPr>
        <w:spacing w:line="360" w:lineRule="auto"/>
        <w:ind w:firstLine="480"/>
      </w:pPr>
      <w:r>
        <w:rPr>
          <w:rFonts w:ascii="Times New Roman" w:hAnsi="Times New Roman" w:eastAsia="宋体"/>
          <w:b w:val="0"/>
          <w:sz w:val="24"/>
        </w:rPr>
        <w:t>V2 评审发现，订单、合同、佣金、服务方四类对象的字段与状态，直接依赖“谁签约、谁收款、谁交付、谁担责、平台靠什么收费”；这些问题不关闭，功能细化必然返工。因此在功能规格之前插入 G-P0 商业与合规地基决策门，每项决策有责任人、交付物与关门标准；未关门的模块不得进入字段冻结。D1–D9 决策清单如下：</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90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编号</w:t>
            </w:r>
          </w:p>
        </w:tc>
        <w:tc>
          <w:tcPr>
            <w:tcW w:type="dxa" w:w="272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决策项</w:t>
            </w:r>
          </w:p>
        </w:tc>
        <w:tc>
          <w:tcPr>
            <w:tcW w:type="dxa" w:w="544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核心结论方向</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D1</w:t>
            </w:r>
          </w:p>
        </w:tc>
        <w:tc>
          <w:tcPr>
            <w:tcW w:type="dxa" w:w="272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试点国家/地区与项目族</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V1 收敛为 1 个国家/地区、1 类身份路径，邀请制客户、受控顾问池</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D2</w:t>
            </w:r>
          </w:p>
        </w:tc>
        <w:tc>
          <w:tcPr>
            <w:tcW w:type="dxa" w:w="272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主体结构与牌照/备案边界</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境内签约收费主体与境外持牌交付主体分离，三要素对照；关注 841 号令备案窗口</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D3</w:t>
            </w:r>
          </w:p>
        </w:tc>
        <w:tc>
          <w:tcPr>
            <w:tcW w:type="dxa" w:w="272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首批真实供给</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逐个审核真实项目与服务方，签署协议四件，自营不豁免核验</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D4</w:t>
            </w:r>
          </w:p>
        </w:tc>
        <w:tc>
          <w:tcPr>
            <w:tcW w:type="dxa" w:w="272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盈利模式与费用结构</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明示平台服务费 + 服务方 B2B 技术/结算服务费（披露），不隐藏差价</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D5</w:t>
            </w:r>
          </w:p>
        </w:tc>
        <w:tc>
          <w:tcPr>
            <w:tcW w:type="dxa" w:w="272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顾问模式与激励</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受控顾问池；回答“顾问为何来、为何不走私下”；平台外成交边界</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D6</w:t>
            </w:r>
          </w:p>
        </w:tc>
        <w:tc>
          <w:tcPr>
            <w:tcW w:type="dxa" w:w="272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各项目可开放的自助范围</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每个项目标注可自助到哪一步，不承诺自动递交</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D7</w:t>
            </w:r>
          </w:p>
        </w:tc>
        <w:tc>
          <w:tcPr>
            <w:tcW w:type="dxa" w:w="272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客户归属与佣金归因</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推荐来源、服务关系、佣金归因三对象分离，双向确认、一名主责</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D8</w:t>
            </w:r>
          </w:p>
        </w:tc>
        <w:tc>
          <w:tcPr>
            <w:tcW w:type="dxa" w:w="272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收款方式与信任补强</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V1 仅对公账户与凭证双人核验，资金托管后置评估</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D9</w:t>
            </w:r>
          </w:p>
        </w:tc>
        <w:tc>
          <w:tcPr>
            <w:tcW w:type="dxa" w:w="272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数据跨境与隐私路径</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数据分级、单独同意、门户水印受控、原件不出域、法定路径核验</w:t>
            </w:r>
          </w:p>
        </w:tc>
      </w:tr>
    </w:tbl>
    <w:p>
      <w:pPr>
        <w:spacing w:after="40"/>
      </w:pPr>
    </w:p>
    <w:p>
      <w:pPr>
        <w:pStyle w:val="Heading2"/>
      </w:pPr>
      <w:bookmarkStart w:id="11" w:name="_LarkToc00011"/>
      <w:r>
        <w:rPr>
          <w:rFonts w:ascii="Times New Roman" w:hAnsi="Times New Roman" w:eastAsia="黑体"/>
          <w:b/>
          <w:color w:val="1B2433"/>
          <w:sz w:val="28"/>
        </w:rPr>
        <w:t>2.4 三阶段演进路线</w:t>
      </w:r>
      <w:bookmarkEnd w:id="11"/>
    </w:p>
    <w:p>
      <w:pPr>
        <w:spacing w:line="360" w:lineRule="auto"/>
        <w:ind w:firstLine="480"/>
      </w:pPr>
      <w:r>
        <w:rPr>
          <w:rFonts w:ascii="Times New Roman" w:hAnsi="Times New Roman" w:eastAsia="宋体"/>
          <w:b w:val="0"/>
          <w:sz w:val="24"/>
        </w:rPr>
        <w:t>平台不一步到位做开放双边市场，而是按“受控—有限开放—平台化”三阶段演进，每阶段均设进入条件，且可收缩回上一形态：</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45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阶段</w:t>
            </w:r>
          </w:p>
        </w:tc>
        <w:tc>
          <w:tcPr>
            <w:tcW w:type="dxa" w:w="399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形态</w:t>
            </w:r>
          </w:p>
        </w:tc>
        <w:tc>
          <w:tcPr>
            <w:tcW w:type="dxa" w:w="3628"/>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进入下一阶段的条件</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V1（本期）</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受控透明服务平台（准直营）：1 国 1 类项目、受控顾问池、邀请制客户、线下签约收款受控登记</w:t>
            </w:r>
          </w:p>
        </w:tc>
        <w:tc>
          <w:tcPr>
            <w:tcW w:type="dxa" w:w="362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G-P0 决策门关闭；A0–D 切片验收通过；影子运行无阻断问题</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V1.5（有限开放）</w:t>
            </w:r>
          </w:p>
        </w:tc>
        <w:tc>
          <w:tcPr>
            <w:tcW w:type="dxa" w:w="399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扩国家/项目族；有限引入经审核独立顾问；评估第三方支付/资金托管；App 按批次发布</w:t>
            </w:r>
          </w:p>
        </w:tc>
        <w:tc>
          <w:tcPr>
            <w:tcW w:type="dxa" w:w="362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试点指标达基线且无重大信任/合规事故；独立顾问履约经过一个完整结算周期；资金合规结论明确</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V2（平台化假设）</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独立顾问与服务方有序开放、平台化匹配与结算</w:t>
            </w:r>
          </w:p>
        </w:tc>
        <w:tc>
          <w:tcPr>
            <w:tcW w:type="dxa" w:w="362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供给侧留存、平台外成交率、单位核验成本三项数据证明市场模型成立</w:t>
            </w:r>
          </w:p>
        </w:tc>
      </w:tr>
    </w:tbl>
    <w:p>
      <w:pPr>
        <w:spacing w:after="40"/>
      </w:pPr>
    </w:p>
    <w:p>
      <w:pPr>
        <w:pStyle w:val="Heading2"/>
      </w:pPr>
      <w:bookmarkStart w:id="12" w:name="_LarkToc00012"/>
      <w:r>
        <w:rPr>
          <w:rFonts w:ascii="Times New Roman" w:hAnsi="Times New Roman" w:eastAsia="黑体"/>
          <w:b/>
          <w:color w:val="1B2433"/>
          <w:sz w:val="28"/>
        </w:rPr>
        <w:t>2.5 试点范围与明确不做</w:t>
      </w:r>
      <w:bookmarkEnd w:id="12"/>
    </w:p>
    <w:p>
      <w:pPr>
        <w:spacing w:line="360" w:lineRule="auto"/>
        <w:ind w:firstLine="480"/>
      </w:pPr>
      <w:r>
        <w:rPr>
          <w:rFonts w:ascii="Times New Roman" w:hAnsi="Times New Roman" w:eastAsia="宋体"/>
          <w:b w:val="0"/>
          <w:sz w:val="24"/>
        </w:rPr>
        <w:t>V1 试点范围刻意收敛：地域与项目为 1 个国家/地区、1 类身份路径，试点期内不横向扩国；客户邀请制；顾问为覆盖试点业务量的最小团队；移动网页与 iPad 先行；自助仅覆盖“了解与材料准备”。</w:t>
      </w:r>
    </w:p>
    <w:p>
      <w:pPr>
        <w:spacing w:line="360" w:lineRule="auto"/>
        <w:ind w:firstLine="480"/>
      </w:pPr>
      <w:r>
        <w:rPr>
          <w:rFonts w:ascii="Times New Roman" w:hAnsi="Times New Roman" w:eastAsia="宋体"/>
          <w:b w:val="0"/>
          <w:sz w:val="24"/>
        </w:rPr>
        <w:t>V1 明确不做：开放式商家自由入驻、跨组织多级分佣、积分商城、复杂会员等级、金融投资账户、平台资金托管、即时全币种支付、完整社交 IM、政府全自动递交、获批概率评分、自动生成法律结论。AI 可辅助检索、解释与起草，但不替代来源与人工责任人；这一克制贯穿后续所有版本。</w:t>
      </w:r>
    </w:p>
    <w:p>
      <w:pPr>
        <w:pStyle w:val="Heading1"/>
      </w:pPr>
      <w:bookmarkStart w:id="13" w:name="_LarkToc00013"/>
      <w:r>
        <w:rPr>
          <w:rFonts w:ascii="Times New Roman" w:hAnsi="Times New Roman" w:eastAsia="黑体"/>
          <w:b/>
          <w:color w:val="1B2433"/>
          <w:sz w:val="32"/>
        </w:rPr>
        <w:t>第 3 章 产品策划与版本演进</w:t>
      </w:r>
      <w:bookmarkEnd w:id="13"/>
    </w:p>
    <w:p>
      <w:pPr>
        <w:pStyle w:val="Heading2"/>
      </w:pPr>
      <w:bookmarkStart w:id="14" w:name="_LarkToc00014"/>
      <w:r>
        <w:rPr>
          <w:rFonts w:ascii="Times New Roman" w:hAnsi="Times New Roman" w:eastAsia="黑体"/>
          <w:b/>
          <w:color w:val="1B2433"/>
          <w:sz w:val="28"/>
        </w:rPr>
        <w:t>3.1 版本演进总览</w:t>
      </w:r>
      <w:bookmarkEnd w:id="14"/>
    </w:p>
    <w:p>
      <w:pPr>
        <w:spacing w:line="360" w:lineRule="auto"/>
        <w:ind w:firstLine="480"/>
      </w:pPr>
      <w:r>
        <w:rPr>
          <w:rFonts w:ascii="Times New Roman" w:hAnsi="Times New Roman" w:eastAsia="宋体"/>
          <w:b w:val="0"/>
          <w:sz w:val="24"/>
        </w:rPr>
        <w:t>项目方案经历了 V1→V2→V3→V4 四个主要版本，每一版都以正式 Markdown 文档留存并进入 Git，演进逻辑清晰可追溯：</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90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版本</w:t>
            </w:r>
          </w:p>
        </w:tc>
        <w:tc>
          <w:tcPr>
            <w:tcW w:type="dxa" w:w="163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日期</w:t>
            </w:r>
          </w:p>
        </w:tc>
        <w:tc>
          <w:tcPr>
            <w:tcW w:type="dxa" w:w="3266"/>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核心主题</w:t>
            </w:r>
          </w:p>
        </w:tc>
        <w:tc>
          <w:tcPr>
            <w:tcW w:type="dxa" w:w="3266"/>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关键产出</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V1</w:t>
            </w:r>
          </w:p>
        </w:tc>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2026-09-18</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产品定义：从内部管理工具到透明化服务平台</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两端+后台、15 个业务对象、三种服务方式、三条原则、AT01–AT18 验收</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V2</w:t>
            </w:r>
          </w:p>
        </w:tc>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2026-09-19</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重规划：受控透明服务平台（准直营）</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G-P0 决策门 D1–D9、三阶段、第四原则、A0 供给核验底座、AT19–AT26</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V3</w:t>
            </w:r>
          </w:p>
        </w:tc>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2026-10-06</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升级工程规划：终端功能完善 × AI 深度升级双线</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R1–R3 规划，后被 V4 吸收留档</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V4</w:t>
            </w:r>
          </w:p>
        </w:tc>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2026-10-06</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战略升维：本地 AI 运营平台</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四大引擎、AI 数据工厂七工段、行业模板、P0–P4 阶段门</w:t>
            </w:r>
          </w:p>
        </w:tc>
      </w:tr>
    </w:tbl>
    <w:p>
      <w:pPr>
        <w:spacing w:after="40"/>
      </w:pPr>
    </w:p>
    <w:p>
      <w:pPr>
        <w:pStyle w:val="Heading2"/>
      </w:pPr>
      <w:bookmarkStart w:id="15" w:name="_LarkToc00015"/>
      <w:r>
        <w:rPr>
          <w:rFonts w:ascii="Times New Roman" w:hAnsi="Times New Roman" w:eastAsia="黑体"/>
          <w:b/>
          <w:color w:val="1B2433"/>
          <w:sz w:val="28"/>
        </w:rPr>
        <w:t>3.2 V1：从内部工具到双边平台的第一版定义</w:t>
      </w:r>
      <w:bookmarkEnd w:id="15"/>
    </w:p>
    <w:p>
      <w:pPr>
        <w:spacing w:line="360" w:lineRule="auto"/>
        <w:ind w:firstLine="480"/>
      </w:pPr>
      <w:r>
        <w:rPr>
          <w:rFonts w:ascii="Times New Roman" w:hAnsi="Times New Roman" w:eastAsia="宋体"/>
          <w:b w:val="0"/>
          <w:sz w:val="24"/>
        </w:rPr>
        <w:t>V1 明确了六个已确认方向：从单一公司内部管理工具发展为客户、独立顾问与项目服务方之间的透明化服务平台；建设客户服务产品、顾问展业产品两个独立产品（不是同一界面切换角色），由统一后台支撑；客户可自主了解、比较、选择服务方式并参与申请；顾问在授权范围内选择项目服务自己的客户并获得可解释佣金；后台统一控制项目、规则、授权、协作、交付与审计；先产品逻辑与功能、再原型与视觉、最后开发。</w:t>
      </w:r>
    </w:p>
    <w:p>
      <w:pPr>
        <w:spacing w:line="360" w:lineRule="auto"/>
        <w:ind w:firstLine="480"/>
      </w:pPr>
      <w:r>
        <w:rPr>
          <w:rFonts w:ascii="Times New Roman" w:hAnsi="Times New Roman" w:eastAsia="宋体"/>
          <w:b w:val="0"/>
          <w:sz w:val="24"/>
        </w:rPr>
        <w:t>V1 定义了游客、客户、家庭成员/授权代办人、顾问、案件办理人员、项目服务方、内容运营/复核人员、财务人员、客服/质量人员、系统管理员等十类参与者及其职责边界，并规定敏感审批（项目发布、订单重大变更、退款、佣金结算）不得由同一人发起并最终批准。同时给出三种服务方式：自助了解与准备、顾问协助、专业委托，分别界定交付边界。</w:t>
      </w:r>
    </w:p>
    <w:p>
      <w:pPr>
        <w:pStyle w:val="Heading2"/>
      </w:pPr>
      <w:bookmarkStart w:id="16" w:name="_LarkToc00016"/>
      <w:r>
        <w:rPr>
          <w:rFonts w:ascii="Times New Roman" w:hAnsi="Times New Roman" w:eastAsia="黑体"/>
          <w:b/>
          <w:color w:val="1B2433"/>
          <w:sz w:val="28"/>
        </w:rPr>
        <w:t>3.3 V2：机制成立，但商业地基必须先补齐</w:t>
      </w:r>
      <w:bookmarkEnd w:id="16"/>
    </w:p>
    <w:p>
      <w:pPr>
        <w:spacing w:line="360" w:lineRule="auto"/>
        <w:ind w:firstLine="480"/>
      </w:pPr>
      <w:r>
        <w:rPr>
          <w:rFonts w:ascii="Times New Roman" w:hAnsi="Times New Roman" w:eastAsia="宋体"/>
          <w:b w:val="0"/>
          <w:sz w:val="24"/>
        </w:rPr>
        <w:t>V1 经评审认为机制设计（业务对象、状态机、权限模型、验收场景）基本成立，但存在三类缺口：签约/收费主体、首批真实供给、盈利模式未定稿，订单合同佣金模型缺少地基；平台的核心产品“核验与责任体系”只有系统机制、没有核验节拍与角色编制；透明化削弱了顾问信息差租金，独立顾问为何入驻、如何防止平台外成交未回答。</w:t>
      </w:r>
    </w:p>
    <w:p>
      <w:pPr>
        <w:spacing w:line="360" w:lineRule="auto"/>
        <w:ind w:firstLine="480"/>
      </w:pPr>
      <w:r>
        <w:rPr>
          <w:rFonts w:ascii="Times New Roman" w:hAnsi="Times New Roman" w:eastAsia="宋体"/>
          <w:b w:val="0"/>
          <w:sz w:val="24"/>
        </w:rPr>
        <w:t>V2 的核心调整是：在功能规格之前插入 G-P0 决策门；把 V1 如实定位为“受控透明服务平台（准直营）”，开放双边市场后置；并补齐核验运营、通知触达、数据跨境、家庭授权、顾问选择信号等缺口。“打破行业壁垒”在 V1 的含义是打破客户侧的信息与信任壁垒，渠道侧的网络效应列为 V1.5/V2 的验证假设。</w:t>
      </w:r>
    </w:p>
    <w:p>
      <w:pPr>
        <w:pStyle w:val="Heading2"/>
      </w:pPr>
      <w:bookmarkStart w:id="17" w:name="_LarkToc00017"/>
      <w:r>
        <w:rPr>
          <w:rFonts w:ascii="Times New Roman" w:hAnsi="Times New Roman" w:eastAsia="黑体"/>
          <w:b/>
          <w:color w:val="1B2433"/>
          <w:sz w:val="28"/>
        </w:rPr>
        <w:t>3.4 功能卡与核心对象、状态机（G-P2–G-P4）</w:t>
      </w:r>
      <w:bookmarkEnd w:id="17"/>
    </w:p>
    <w:p>
      <w:pPr>
        <w:spacing w:line="360" w:lineRule="auto"/>
        <w:ind w:firstLine="480"/>
      </w:pPr>
      <w:r>
        <w:rPr>
          <w:rFonts w:ascii="Times New Roman" w:hAnsi="Times New Roman" w:eastAsia="宋体"/>
          <w:b w:val="0"/>
          <w:sz w:val="24"/>
        </w:rPr>
        <w:t>方案冻结后，进入功能定义阶段，依次产出页面目录（G-P2）、四批功能卡（G-P3）与核心对象状态机（G-P4）：</w:t>
      </w:r>
    </w:p>
    <w:p>
      <w:pPr>
        <w:pStyle w:val="ListBullet"/>
        <w:spacing w:line="336" w:lineRule="auto" w:after="40"/>
      </w:pPr>
      <w:r>
        <w:rPr>
          <w:rFonts w:ascii="Times New Roman" w:hAnsi="Times New Roman" w:eastAsia="宋体"/>
          <w:b/>
          <w:sz w:val="24"/>
        </w:rPr>
        <w:t>第 1 批：</w:t>
      </w:r>
      <w:r>
        <w:rPr>
          <w:rFonts w:ascii="Times New Roman" w:hAnsi="Times New Roman" w:eastAsia="宋体"/>
          <w:b w:val="0"/>
          <w:sz w:val="24"/>
        </w:rPr>
        <w:t>客户端浏览、评估、选人（C01–C07）；</w:t>
      </w:r>
    </w:p>
    <w:p>
      <w:pPr>
        <w:pStyle w:val="ListBullet"/>
        <w:spacing w:line="336" w:lineRule="auto" w:after="40"/>
      </w:pPr>
      <w:r>
        <w:rPr>
          <w:rFonts w:ascii="Times New Roman" w:hAnsi="Times New Roman" w:eastAsia="宋体"/>
          <w:b/>
          <w:sz w:val="24"/>
        </w:rPr>
        <w:t>第 2 批：</w:t>
      </w:r>
      <w:r>
        <w:rPr>
          <w:rFonts w:ascii="Times New Roman" w:hAnsi="Times New Roman" w:eastAsia="宋体"/>
          <w:b w:val="0"/>
          <w:sz w:val="24"/>
        </w:rPr>
        <w:t>客户端方案、订单、退款、案件、材料、进度、消息、工单、我的与家庭授权（C08–C13）；</w:t>
      </w:r>
    </w:p>
    <w:p>
      <w:pPr>
        <w:pStyle w:val="ListBullet"/>
        <w:spacing w:line="336" w:lineRule="auto" w:after="40"/>
      </w:pPr>
      <w:r>
        <w:rPr>
          <w:rFonts w:ascii="Times New Roman" w:hAnsi="Times New Roman" w:eastAsia="宋体"/>
          <w:b/>
          <w:sz w:val="24"/>
        </w:rPr>
        <w:t>第 3 批：</w:t>
      </w:r>
      <w:r>
        <w:rPr>
          <w:rFonts w:ascii="Times New Roman" w:hAnsi="Times New Roman" w:eastAsia="宋体"/>
          <w:b w:val="0"/>
          <w:sz w:val="24"/>
        </w:rPr>
        <w:t>第 6 个 Tab“全球通行”（C14）与顾问展业端（S-00–S-11/S-08a）；</w:t>
      </w:r>
    </w:p>
    <w:p>
      <w:pPr>
        <w:pStyle w:val="ListBullet"/>
        <w:spacing w:line="336" w:lineRule="auto" w:after="40"/>
      </w:pPr>
      <w:r>
        <w:rPr>
          <w:rFonts w:ascii="Times New Roman" w:hAnsi="Times New Roman" w:eastAsia="宋体"/>
          <w:b/>
          <w:sz w:val="24"/>
        </w:rPr>
        <w:t>第 4 批：</w:t>
      </w:r>
      <w:r>
        <w:rPr>
          <w:rFonts w:ascii="Times New Roman" w:hAnsi="Times New Roman" w:eastAsia="宋体"/>
          <w:b w:val="0"/>
          <w:sz w:val="24"/>
        </w:rPr>
        <w:t>顾问 iPad 面谈端与总后台（A01–A12）。</w:t>
      </w:r>
    </w:p>
    <w:p>
      <w:pPr>
        <w:spacing w:line="360" w:lineRule="auto"/>
        <w:ind w:firstLine="480"/>
      </w:pPr>
      <w:r>
        <w:rPr>
          <w:rFonts w:ascii="Times New Roman" w:hAnsi="Times New Roman" w:eastAsia="宋体"/>
          <w:b w:val="0"/>
          <w:sz w:val="24"/>
        </w:rPr>
        <w:t>每张功能卡按统一 13 字段模板描述：触发、前置、流程、状态、字段、服务端闸门、权限、异常、空态、文案、埋点、验收、依赖。G-P4 则把核心对象与状态流转统一固化，确保前后端对“一个对象在什么状态下能做什么动作”有唯一答案。</w:t>
      </w:r>
    </w:p>
    <w:p>
      <w:pPr>
        <w:pStyle w:val="Heading2"/>
      </w:pPr>
      <w:bookmarkStart w:id="18" w:name="_LarkToc00018"/>
      <w:r>
        <w:rPr>
          <w:rFonts w:ascii="Times New Roman" w:hAnsi="Times New Roman" w:eastAsia="黑体"/>
          <w:b/>
          <w:color w:val="1B2433"/>
          <w:sz w:val="28"/>
        </w:rPr>
        <w:t>3.5 V4：升维为本地 AI 运营平台</w:t>
      </w:r>
      <w:bookmarkEnd w:id="18"/>
    </w:p>
    <w:p>
      <w:pPr>
        <w:spacing w:line="360" w:lineRule="auto"/>
        <w:ind w:firstLine="480"/>
      </w:pPr>
      <w:r>
        <w:rPr>
          <w:rFonts w:ascii="Times New Roman" w:hAnsi="Times New Roman" w:eastAsia="宋体"/>
          <w:b w:val="0"/>
          <w:sz w:val="24"/>
        </w:rPr>
        <w:t>在五端业务系统与 AI 初步功能跑通、公网上线后，项目于 2026 年 10 月 6 日完成 V4 战略升维。核心资产从“移民业务系统”转为“AI 数据工厂 + 本地 AI 中枢 + 行业模板 + 运营终端”四引擎平台；移民是装在平台上的第一个行业包。</w:t>
      </w:r>
    </w:p>
    <w:p>
      <w:pPr>
        <w:spacing w:line="360" w:lineRule="auto"/>
        <w:ind w:firstLine="480"/>
      </w:pPr>
      <w:r>
        <w:rPr>
          <w:rFonts w:ascii="Times New Roman" w:hAnsi="Times New Roman" w:eastAsia="宋体"/>
          <w:b w:val="0"/>
          <w:sz w:val="24"/>
        </w:rPr>
        <w:t>V4 的总原则三句话被定为全平台不变量：</w:t>
      </w:r>
    </w:p>
    <w:p>
      <w:pPr>
        <w:pStyle w:val="ListBullet"/>
        <w:spacing w:line="336" w:lineRule="auto" w:after="40"/>
      </w:pPr>
      <w:r>
        <w:rPr>
          <w:rFonts w:ascii="Times New Roman" w:hAnsi="Times New Roman" w:eastAsia="宋体"/>
          <w:b w:val="0"/>
          <w:sz w:val="24"/>
        </w:rPr>
        <w:t>事实由系统供给，语言由模型组织，决定由人作出；</w:t>
      </w:r>
    </w:p>
    <w:p>
      <w:pPr>
        <w:pStyle w:val="ListBullet"/>
        <w:spacing w:line="336" w:lineRule="auto" w:after="40"/>
      </w:pPr>
      <w:r>
        <w:rPr>
          <w:rFonts w:ascii="Times New Roman" w:hAnsi="Times New Roman" w:eastAsia="宋体"/>
          <w:b w:val="0"/>
          <w:sz w:val="24"/>
        </w:rPr>
        <w:t>原始数据不可变，每条结论可回溯，关键动作经四眼；</w:t>
      </w:r>
    </w:p>
    <w:p>
      <w:pPr>
        <w:pStyle w:val="ListBullet"/>
        <w:spacing w:line="336" w:lineRule="auto" w:after="40"/>
      </w:pPr>
      <w:r>
        <w:rPr>
          <w:rFonts w:ascii="Times New Roman" w:hAnsi="Times New Roman" w:eastAsia="宋体"/>
          <w:b w:val="0"/>
          <w:sz w:val="24"/>
        </w:rPr>
        <w:t>本地优先、数据最小化、升级只做增量，不破坏已冻结成果。</w:t>
      </w:r>
    </w:p>
    <w:p>
      <w:pPr>
        <w:spacing w:line="360" w:lineRule="auto"/>
        <w:ind w:firstLine="480"/>
      </w:pPr>
      <w:r>
        <w:rPr>
          <w:rFonts w:ascii="Times New Roman" w:hAnsi="Times New Roman" w:eastAsia="宋体"/>
          <w:b w:val="0"/>
          <w:sz w:val="24"/>
        </w:rPr>
        <w:t>V4 要推动的三个决定：产品形态四引擎化；技术路线本地优先、本地/混合 AI 着重发力，云模型仅在明确批准后处理本地能力不足的少数任务且只送脱敏最小上下文；商业叙事同时讲清移民样板可演示、平台可跨行业复制、数据工厂持续把脏数据炼成准确数据（数据资产复利）。</w:t>
      </w:r>
    </w:p>
    <w:p>
      <w:pPr>
        <w:pStyle w:val="Heading1"/>
      </w:pPr>
      <w:bookmarkStart w:id="19" w:name="_LarkToc00019"/>
      <w:r>
        <w:rPr>
          <w:rFonts w:ascii="Times New Roman" w:hAnsi="Times New Roman" w:eastAsia="黑体"/>
          <w:b/>
          <w:color w:val="1B2433"/>
          <w:sz w:val="32"/>
        </w:rPr>
        <w:t>第 4 章 调研与对标</w:t>
      </w:r>
      <w:bookmarkEnd w:id="19"/>
    </w:p>
    <w:p>
      <w:pPr>
        <w:pStyle w:val="Heading2"/>
      </w:pPr>
      <w:bookmarkStart w:id="20" w:name="_LarkToc00020"/>
      <w:r>
        <w:rPr>
          <w:rFonts w:ascii="Times New Roman" w:hAnsi="Times New Roman" w:eastAsia="黑体"/>
          <w:b/>
          <w:color w:val="1B2433"/>
          <w:sz w:val="28"/>
        </w:rPr>
        <w:t>4.1 友邦“友享”App 对标：借结构，不复制品牌</w:t>
      </w:r>
      <w:bookmarkEnd w:id="20"/>
    </w:p>
    <w:p>
      <w:pPr>
        <w:spacing w:line="360" w:lineRule="auto"/>
        <w:ind w:firstLine="480"/>
      </w:pPr>
      <w:r>
        <w:rPr>
          <w:rFonts w:ascii="Times New Roman" w:hAnsi="Times New Roman" w:eastAsia="宋体"/>
          <w:b w:val="0"/>
          <w:sz w:val="24"/>
        </w:rPr>
        <w:t>负责人提供了其作为友邦客户实际使用的 10 张“友享”App 截图（推荐首页、登录、全部服务、个人中心、产品列表、产品详情、保障等），并欣赏“销售持 iPad 展业 + 客户自有 App”的模式。项目团队提炼出可复用的结构映射：</w:t>
      </w:r>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344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友邦结构</w:t>
            </w:r>
          </w:p>
        </w:tc>
        <w:tc>
          <w:tcPr>
            <w:tcW w:type="dxa" w:w="5624"/>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本平台映射</w:t>
            </w:r>
          </w:p>
        </w:tc>
      </w:tr>
      <w:tr>
        <w:trPr>
          <w:cantSplit/>
        </w:trPr>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适当性问卷</w:t>
            </w:r>
          </w:p>
        </w:tc>
        <w:tc>
          <w:tcPr>
            <w:tcW w:type="dxa" w:w="562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客户初步评估（六题问卷 → 符合/差距/待确认/未承诺）</w:t>
            </w:r>
          </w:p>
        </w:tc>
      </w:tr>
      <w:tr>
        <w:trPr>
          <w:cantSplit/>
        </w:trPr>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产品详情双按钮</w:t>
            </w:r>
          </w:p>
        </w:tc>
        <w:tc>
          <w:tcPr>
            <w:tcW w:type="dxa" w:w="562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项目详情：选择顾问 / 开始自助准备</w:t>
            </w:r>
          </w:p>
        </w:tc>
      </w:tr>
      <w:tr>
        <w:trPr>
          <w:cantSplit/>
        </w:trPr>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左分类、右宫格的服务目录</w:t>
            </w:r>
          </w:p>
        </w:tc>
        <w:tc>
          <w:tcPr>
            <w:tcW w:type="dxa" w:w="562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客户端首页高频入口 + 完整服务目录分层</w:t>
            </w:r>
          </w:p>
        </w:tc>
      </w:tr>
      <w:tr>
        <w:trPr>
          <w:cantSplit/>
        </w:trPr>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人群 Tab + 条件 chips</w:t>
            </w:r>
          </w:p>
        </w:tc>
        <w:tc>
          <w:tcPr>
            <w:tcW w:type="dxa" w:w="562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项目按人群/需求/路径组织与筛选</w:t>
            </w:r>
          </w:p>
        </w:tc>
      </w:tr>
      <w:tr>
        <w:trPr>
          <w:cantSplit/>
        </w:trPr>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我的顾问 / 我的保单 / 服务记录</w:t>
            </w:r>
          </w:p>
        </w:tc>
        <w:tc>
          <w:tcPr>
            <w:tcW w:type="dxa" w:w="562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我的顾问 / 我的方案订单 / 我的案件与进度</w:t>
            </w:r>
          </w:p>
        </w:tc>
      </w:tr>
      <w:tr>
        <w:trPr>
          <w:cantSplit/>
        </w:trPr>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消费者教育专区</w:t>
            </w:r>
          </w:p>
        </w:tc>
        <w:tc>
          <w:tcPr>
            <w:tcW w:type="dxa" w:w="562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移民防骗教育与消费者提示</w:t>
            </w:r>
          </w:p>
        </w:tc>
      </w:tr>
      <w:tr>
        <w:trPr>
          <w:cantSplit/>
        </w:trPr>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销售持 iPad 展业</w:t>
            </w:r>
          </w:p>
        </w:tc>
        <w:tc>
          <w:tcPr>
            <w:tcW w:type="dxa" w:w="562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顾问 iPad 面谈端：工作模式 / 客户演示模式</w:t>
            </w:r>
          </w:p>
        </w:tc>
      </w:tr>
    </w:tbl>
    <w:p>
      <w:pPr>
        <w:spacing w:after="40"/>
      </w:pPr>
    </w:p>
    <w:p>
      <w:pPr>
        <w:spacing w:line="360" w:lineRule="auto"/>
        <w:ind w:firstLine="480"/>
      </w:pPr>
      <w:r>
        <w:rPr>
          <w:rFonts w:ascii="Times New Roman" w:hAnsi="Times New Roman" w:eastAsia="宋体"/>
          <w:b w:val="0"/>
          <w:sz w:val="24"/>
        </w:rPr>
        <w:t>对标边界明确：只借结构与交互逻辑，不复制友邦品牌、红色视觉与保险业务流程；不上传原图到公开仓库，使用自有品牌与素材。</w:t>
      </w:r>
    </w:p>
    <w:p>
      <w:pPr>
        <w:pStyle w:val="Heading2"/>
      </w:pPr>
      <w:bookmarkStart w:id="21" w:name="_LarkToc00021"/>
      <w:r>
        <w:rPr>
          <w:rFonts w:ascii="Times New Roman" w:hAnsi="Times New Roman" w:eastAsia="黑体"/>
          <w:b/>
          <w:color w:val="1B2433"/>
          <w:sz w:val="28"/>
        </w:rPr>
        <w:t>4.2 西方简洁 App 体验基准：Wise / Monzo 气质</w:t>
      </w:r>
      <w:bookmarkEnd w:id="21"/>
    </w:p>
    <w:p>
      <w:pPr>
        <w:spacing w:line="360" w:lineRule="auto"/>
        <w:ind w:firstLine="480"/>
      </w:pPr>
      <w:r>
        <w:rPr>
          <w:rFonts w:ascii="Times New Roman" w:hAnsi="Times New Roman" w:eastAsia="宋体"/>
          <w:b w:val="0"/>
          <w:sz w:val="24"/>
        </w:rPr>
        <w:t>负责人明确偏好 Wise、Monzo 与友邦式的“舒适、温和、不紧张、人人易用”的西方简洁风格，不要信息压迫、不要大红大黄的营销感。设计团队据此确立：大留白、克制的色彩、圆角卡片、清晰的字阶、轻量的动效、人话式文案（动词平实、说明点下去会发生什么）、空态与错误态当作指路而非渲染情绪。</w:t>
      </w:r>
    </w:p>
    <w:p>
      <w:pPr>
        <w:pStyle w:val="Heading2"/>
      </w:pPr>
      <w:bookmarkStart w:id="22" w:name="_LarkToc00022"/>
      <w:r>
        <w:rPr>
          <w:rFonts w:ascii="Times New Roman" w:hAnsi="Times New Roman" w:eastAsia="黑体"/>
          <w:b/>
          <w:color w:val="1B2433"/>
          <w:sz w:val="28"/>
        </w:rPr>
        <w:t>4.3 “全球通行”对标：护照与签证数据</w:t>
      </w:r>
      <w:bookmarkEnd w:id="22"/>
    </w:p>
    <w:p>
      <w:pPr>
        <w:spacing w:line="360" w:lineRule="auto"/>
        <w:ind w:firstLine="480"/>
      </w:pPr>
      <w:r>
        <w:rPr>
          <w:rFonts w:ascii="Times New Roman" w:hAnsi="Times New Roman" w:eastAsia="宋体"/>
          <w:b w:val="0"/>
          <w:sz w:val="24"/>
        </w:rPr>
        <w:t>客户端第 6 个 Tab“全球通行”包含“我的护照、签证要求、护照对比排名”，参考 Henley Passport Index （henleyglobal.com/passport-index）与公司既有站点 hbwhere.com 的信息组织方式。调研中明确了一个关键外部依赖门（Q6）：</w:t>
      </w:r>
    </w:p>
    <w:p>
      <w:pPr>
        <w:pStyle w:val="ListBullet"/>
        <w:spacing w:line="336" w:lineRule="auto" w:after="40"/>
      </w:pPr>
      <w:r>
        <w:rPr>
          <w:rFonts w:ascii="Times New Roman" w:hAnsi="Times New Roman" w:eastAsia="宋体"/>
          <w:b w:val="0"/>
          <w:sz w:val="24"/>
        </w:rPr>
        <w:t>签证可行性数据多为第三方专有数据（如 IATA Timatic 类），需商业授权；未落实授权前，只建框架与示例，使用“示例国别数据”，不对客上线真实问答；</w:t>
      </w:r>
    </w:p>
    <w:p>
      <w:pPr>
        <w:pStyle w:val="ListBullet"/>
        <w:spacing w:line="336" w:lineRule="auto" w:after="40"/>
      </w:pPr>
      <w:r>
        <w:rPr>
          <w:rFonts w:ascii="Times New Roman" w:hAnsi="Times New Roman" w:eastAsia="宋体"/>
          <w:b w:val="0"/>
          <w:sz w:val="24"/>
        </w:rPr>
        <w:t>183 天税务居民判定等复杂规则列入二期；</w:t>
      </w:r>
    </w:p>
    <w:p>
      <w:pPr>
        <w:pStyle w:val="ListBullet"/>
        <w:spacing w:line="336" w:lineRule="auto" w:after="40"/>
      </w:pPr>
      <w:r>
        <w:rPr>
          <w:rFonts w:ascii="Times New Roman" w:hAnsi="Times New Roman" w:eastAsia="宋体"/>
          <w:b w:val="0"/>
          <w:sz w:val="24"/>
        </w:rPr>
        <w:t>签证数据缓存暂定 24 小时，过期提示以官方为准。</w:t>
      </w:r>
    </w:p>
    <w:p>
      <w:pPr>
        <w:pStyle w:val="Heading2"/>
      </w:pPr>
      <w:bookmarkStart w:id="23" w:name="_LarkToc00023"/>
      <w:r>
        <w:rPr>
          <w:rFonts w:ascii="Times New Roman" w:hAnsi="Times New Roman" w:eastAsia="黑体"/>
          <w:b/>
          <w:color w:val="1B2433"/>
          <w:sz w:val="28"/>
        </w:rPr>
        <w:t>4.4 AI 知识工程调研：从 RAG 到 LLM Wiki</w:t>
      </w:r>
      <w:bookmarkEnd w:id="23"/>
    </w:p>
    <w:p>
      <w:pPr>
        <w:spacing w:line="360" w:lineRule="auto"/>
        <w:ind w:firstLine="480"/>
      </w:pPr>
      <w:r>
        <w:rPr>
          <w:rFonts w:ascii="Times New Roman" w:hAnsi="Times New Roman" w:eastAsia="宋体"/>
          <w:b w:val="0"/>
          <w:sz w:val="24"/>
        </w:rPr>
        <w:t>2026 年 10 月 1 日，项目对当时主流的知识工程路径做了系统调研与对比，产出《AI 知识工程技术路径分析》：</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45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路径</w:t>
            </w:r>
          </w:p>
        </w:tc>
        <w:tc>
          <w:tcPr>
            <w:tcW w:type="dxa" w:w="3628"/>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机制</w:t>
            </w:r>
          </w:p>
        </w:tc>
        <w:tc>
          <w:tcPr>
            <w:tcW w:type="dxa" w:w="399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适用与局限</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向量 RAG</w:t>
            </w:r>
          </w:p>
        </w:tc>
        <w:tc>
          <w:tcPr>
            <w:tcW w:type="dxa" w:w="362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切块向量化检索 + 拼上下文</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单跳问答成熟；多跳、跨文档、全局问题弱（公开基准单跳约 70–85%，多跳约 40–55%）</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GraphRAG</w:t>
            </w:r>
          </w:p>
        </w:tc>
        <w:tc>
          <w:tcPr>
            <w:tcW w:type="dxa" w:w="362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先抽取实体关系构建图谱，再社区摘要</w:t>
            </w:r>
          </w:p>
        </w:tc>
        <w:tc>
          <w:tcPr>
            <w:tcW w:type="dxa" w:w="399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全局问题强（约 80–92%），但构建重、成本高</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LightRAG</w:t>
            </w:r>
          </w:p>
        </w:tc>
        <w:tc>
          <w:tcPr>
            <w:tcW w:type="dxa" w:w="362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轻量图谱 + 局部/全局检索</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兼顾成本与全局能力</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Agentic RAG</w:t>
            </w:r>
          </w:p>
        </w:tc>
        <w:tc>
          <w:tcPr>
            <w:tcW w:type="dxa" w:w="362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由 Agent 自主规划多步检索与工具调用</w:t>
            </w:r>
          </w:p>
        </w:tc>
        <w:tc>
          <w:tcPr>
            <w:tcW w:type="dxa" w:w="399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灵活、上限高，但确定性与可控性弱</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LLM Wiki</w:t>
            </w:r>
          </w:p>
        </w:tc>
        <w:tc>
          <w:tcPr>
            <w:tcW w:type="dxa" w:w="362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保留不可变原始资料，由 LLM 维护相互引用的 Markdown 知识页与 schema</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结构可读、可审、可回溯；与四眼流程契合</w:t>
            </w:r>
          </w:p>
        </w:tc>
      </w:tr>
    </w:tbl>
    <w:p>
      <w:pPr>
        <w:spacing w:after="40"/>
      </w:pPr>
    </w:p>
    <w:p>
      <w:pPr>
        <w:spacing w:line="360" w:lineRule="auto"/>
        <w:ind w:firstLine="480"/>
      </w:pPr>
      <w:r>
        <w:rPr>
          <w:rFonts w:ascii="Times New Roman" w:hAnsi="Times New Roman" w:eastAsia="宋体"/>
          <w:b w:val="0"/>
          <w:sz w:val="24"/>
        </w:rPr>
        <w:t>调研结论是采用混合“知识编译层（Compiled Knowledge Layer）”：L0 原始资料不可变 → L1 由 LLM 编译 Wiki 页（frontmatter 记录 sources/version/authorId/reviewerId/status/compiledWith，经四眼发布）→ L2 轻图谱（LightRAG）→ L3 向量 + 轻 Agent。分 K1→K2→K3 三期落地，K1 先做确定性 Wiki 编译与四眼。该设计后来成为 V4 数据工厂 L1/L2 分层的基础。</w:t>
      </w:r>
    </w:p>
    <w:p>
      <w:pPr>
        <w:pStyle w:val="Heading2"/>
      </w:pPr>
      <w:bookmarkStart w:id="24" w:name="_LarkToc00024"/>
      <w:r>
        <w:rPr>
          <w:rFonts w:ascii="Times New Roman" w:hAnsi="Times New Roman" w:eastAsia="黑体"/>
          <w:b/>
          <w:color w:val="1B2433"/>
          <w:sz w:val="28"/>
        </w:rPr>
        <w:t>4.5 合规调研：备案、持牌与数据跨境</w:t>
      </w:r>
      <w:bookmarkEnd w:id="24"/>
    </w:p>
    <w:p>
      <w:pPr>
        <w:spacing w:line="360" w:lineRule="auto"/>
        <w:ind w:firstLine="480"/>
      </w:pPr>
      <w:r>
        <w:rPr>
          <w:rFonts w:ascii="Times New Roman" w:hAnsi="Times New Roman" w:eastAsia="宋体"/>
          <w:b w:val="0"/>
          <w:sz w:val="24"/>
        </w:rPr>
        <w:t>项目在立项阶段即把合规当作产品的一部分而非法务尾声：关注境内主体的备案要求（文档中记录了 841 号令 2026 年 9 月 15 日施行及其 90 日窗口提示）、目的地国持牌制度（以葡萄牙、马耳他、希腊等为例）、数据跨境分级与单独同意。调研结论全部落到 D2、D9 决策与服务端闸门：L3 类原件不进入任何模型上下文、不出域；门户为只读、水印、批次授权、到期回收；跨境共享单独同意；原始 L3 资料绝不发送给云模型。</w:t>
      </w:r>
    </w:p>
    <w:p>
      <w:pPr>
        <w:pStyle w:val="Heading1"/>
      </w:pPr>
      <w:bookmarkStart w:id="25" w:name="_LarkToc00025"/>
      <w:r>
        <w:rPr>
          <w:rFonts w:ascii="Times New Roman" w:hAnsi="Times New Roman" w:eastAsia="黑体"/>
          <w:b/>
          <w:color w:val="1B2433"/>
          <w:sz w:val="32"/>
        </w:rPr>
        <w:t>第 5 章 产品体系与功能设计</w:t>
      </w:r>
      <w:bookmarkEnd w:id="25"/>
    </w:p>
    <w:p>
      <w:pPr>
        <w:pStyle w:val="Heading2"/>
      </w:pPr>
      <w:bookmarkStart w:id="26" w:name="_LarkToc00026"/>
      <w:r>
        <w:rPr>
          <w:rFonts w:ascii="Times New Roman" w:hAnsi="Times New Roman" w:eastAsia="黑体"/>
          <w:b/>
          <w:color w:val="1B2433"/>
          <w:sz w:val="28"/>
        </w:rPr>
        <w:t>5.1 总体形态：一个后台、两个终端、一个门户</w:t>
      </w:r>
      <w:bookmarkEnd w:id="26"/>
    </w:p>
    <w:p>
      <w:pPr>
        <w:spacing w:line="360" w:lineRule="auto"/>
        <w:ind w:firstLine="480"/>
      </w:pPr>
      <w:r>
        <w:rPr>
          <w:rFonts w:ascii="Times New Roman" w:hAnsi="Times New Roman" w:eastAsia="宋体"/>
          <w:b w:val="0"/>
          <w:sz w:val="24"/>
        </w:rPr>
        <w:t>系统最终采用“1 个总后台 + 2 个移动 App + 1 个 B2B 门户”的形态，全部终端共用同一套规范数据与 AI 能力：</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63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终端</w:t>
            </w:r>
          </w:p>
        </w:tc>
        <w:tc>
          <w:tcPr>
            <w:tcW w:type="dxa" w:w="2358"/>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使用者</w:t>
            </w:r>
          </w:p>
        </w:tc>
        <w:tc>
          <w:tcPr>
            <w:tcW w:type="dxa" w:w="508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核心职责</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总后台管理中心</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运营、内容、财务、交付、合规、AI/数据管理员</w:t>
            </w:r>
          </w:p>
        </w:tc>
        <w:tc>
          <w:tcPr>
            <w:tcW w:type="dxa" w:w="508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项目与内容四眼发布、关系与授权、供给准入、案件监控、工单/佣金/合规、AI 中枢（A13）、数据工厂（A14）</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客户服务端</w:t>
            </w:r>
          </w:p>
        </w:tc>
        <w:tc>
          <w:tcPr>
            <w:tcW w:type="dxa" w:w="235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客户及家庭成员</w:t>
            </w:r>
          </w:p>
        </w:tc>
        <w:tc>
          <w:tcPr>
            <w:tcW w:type="dxa" w:w="508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浏览评估、全球通行、选人、方案确认、付款、案件材料、进度、防骗教育、AI 助手</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顾问展业端</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雇佣/签约顾问（手机、iPad）</w:t>
            </w:r>
          </w:p>
        </w:tc>
        <w:tc>
          <w:tcPr>
            <w:tcW w:type="dxa" w:w="508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 360、授权执业、方案编制、任务与材料、会前简报、佣金、学习、AI 工作台</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服务方受控门户</w:t>
            </w:r>
          </w:p>
        </w:tc>
        <w:tc>
          <w:tcPr>
            <w:tcW w:type="dxa" w:w="235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境外持牌/自营交付服务方</w:t>
            </w:r>
          </w:p>
        </w:tc>
        <w:tc>
          <w:tcPr>
            <w:tcW w:type="dxa" w:w="508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只读接收授权批次、受控阅读器（水印/预签名/逐页审计）、按批次交付证据</w:t>
            </w:r>
          </w:p>
        </w:tc>
      </w:tr>
    </w:tbl>
    <w:p>
      <w:pPr>
        <w:spacing w:after="40"/>
      </w:pPr>
    </w:p>
    <w:p>
      <w:pPr>
        <w:pStyle w:val="Heading2"/>
      </w:pPr>
      <w:bookmarkStart w:id="27" w:name="_LarkToc00027"/>
      <w:r>
        <w:rPr>
          <w:rFonts w:ascii="Times New Roman" w:hAnsi="Times New Roman" w:eastAsia="黑体"/>
          <w:b/>
          <w:color w:val="1B2433"/>
          <w:sz w:val="28"/>
        </w:rPr>
        <w:t>5.2 核心业务对象：全系统的共同语言</w:t>
      </w:r>
      <w:bookmarkEnd w:id="27"/>
    </w:p>
    <w:p>
      <w:pPr>
        <w:spacing w:line="360" w:lineRule="auto"/>
        <w:ind w:firstLine="480"/>
      </w:pPr>
      <w:r>
        <w:rPr>
          <w:rFonts w:ascii="Times New Roman" w:hAnsi="Times New Roman" w:eastAsia="宋体"/>
          <w:b w:val="0"/>
          <w:sz w:val="24"/>
        </w:rPr>
        <w:t>V1 即定义 15 个核心业务对象，V4 后扩展到 20+，所有功能、状态机与 AI 回答都围绕这些对象展开。主要对象包括：</w:t>
      </w:r>
    </w:p>
    <w:p>
      <w:pPr>
        <w:spacing w:line="360" w:lineRule="auto"/>
        <w:ind w:firstLine="480"/>
      </w:pPr>
      <w:r>
        <w:rPr>
          <w:rFonts w:ascii="Times New Roman" w:hAnsi="Times New Roman" w:eastAsia="宋体"/>
          <w:b w:val="0"/>
          <w:sz w:val="24"/>
        </w:rPr>
        <w:t>项目（Project）、顾问授权（Authorization）、需求（Demand）、推荐来源（Referral）、服务关系（Relationship）、方案（Proposal）、订单（Order）、合同（Contract）、付款（Payment）、发票/收据、服务方（ServiceProvider）、案件（Case）、任务（Task）、材料（Material）、时间线（TimelineEvent）、授权同意（Consent）、通知（Notification）、工单（Ticket）、佣金（Commission）、结算批次（SettlementBatch）、退款（Refund）、合规事件（ComplianceEvent）、邀请（Invite）、注销（Deletion）、知识页（KN/WS/WP）、数据工厂原始件（RAW）与规范记录（CAN/Canonical）。</w:t>
      </w:r>
    </w:p>
    <w:p>
      <w:pPr>
        <w:spacing w:line="360" w:lineRule="auto"/>
        <w:ind w:firstLine="480"/>
      </w:pPr>
      <w:r>
        <w:rPr>
          <w:rFonts w:ascii="Times New Roman" w:hAnsi="Times New Roman" w:eastAsia="宋体"/>
          <w:b w:val="0"/>
          <w:sz w:val="24"/>
        </w:rPr>
        <w:t>三个关键对象分离是归因与佣金的基础：推荐来源（谁分享、从哪个入口、客户是否授权）不等于服务关系（该笔订单谁主责、谁协作），也不等于佣金归因（按什么规则结算）；客户与顾问之间须双向确认，且一名客户一名主责顾问。</w:t>
      </w:r>
    </w:p>
    <w:p>
      <w:pPr>
        <w:pStyle w:val="Heading2"/>
      </w:pPr>
      <w:bookmarkStart w:id="28" w:name="_LarkToc00028"/>
      <w:r>
        <w:rPr>
          <w:rFonts w:ascii="Times New Roman" w:hAnsi="Times New Roman" w:eastAsia="黑体"/>
          <w:b/>
          <w:color w:val="1B2433"/>
          <w:sz w:val="28"/>
        </w:rPr>
        <w:t>5.3 全业务闭环与关键闸门</w:t>
      </w:r>
      <w:bookmarkEnd w:id="28"/>
    </w:p>
    <w:p>
      <w:pPr>
        <w:spacing w:line="360" w:lineRule="auto"/>
        <w:ind w:firstLine="480"/>
      </w:pPr>
      <w:r>
        <w:rPr>
          <w:rFonts w:ascii="Times New Roman" w:hAnsi="Times New Roman" w:eastAsia="宋体"/>
          <w:b w:val="0"/>
          <w:sz w:val="24"/>
        </w:rPr>
        <w:t>从线索到售后的完整闭环为：项目审核发布 → 客户了解与初评 → 自选顾问或自助路径 → 方案确认 → 合同订单生效 → 材料与任务协作 → 凭据支持的进度更新 → 服务完成/异常处理 → 佣金核算与对账。闭环中设置了若干“硬闸门”：</w:t>
      </w:r>
    </w:p>
    <w:p>
      <w:pPr>
        <w:pStyle w:val="ListBullet"/>
        <w:spacing w:line="336" w:lineRule="auto" w:after="40"/>
      </w:pPr>
      <w:r>
        <w:rPr>
          <w:rFonts w:ascii="Times New Roman" w:hAnsi="Times New Roman" w:eastAsia="宋体"/>
          <w:b/>
          <w:sz w:val="24"/>
        </w:rPr>
        <w:t>获客：</w:t>
      </w:r>
      <w:r>
        <w:rPr>
          <w:rFonts w:ascii="Times New Roman" w:hAnsi="Times New Roman" w:eastAsia="宋体"/>
          <w:b w:val="0"/>
          <w:sz w:val="24"/>
        </w:rPr>
        <w:t>线索五来源捕获、双向确认门、重复线索冲突挂起（conflict_pending）。</w:t>
      </w:r>
    </w:p>
    <w:p>
      <w:pPr>
        <w:pStyle w:val="ListBullet"/>
        <w:spacing w:line="336" w:lineRule="auto" w:after="40"/>
      </w:pPr>
      <w:r>
        <w:rPr>
          <w:rFonts w:ascii="Times New Roman" w:hAnsi="Times New Roman" w:eastAsia="宋体"/>
          <w:b/>
          <w:sz w:val="24"/>
        </w:rPr>
        <w:t>方案：</w:t>
      </w:r>
      <w:r>
        <w:rPr>
          <w:rFonts w:ascii="Times New Roman" w:hAnsi="Times New Roman" w:eastAsia="宋体"/>
          <w:b w:val="0"/>
          <w:sz w:val="24"/>
        </w:rPr>
        <w:t>方案版本化、费表只读快照、报价复核人≠编制人；第四生产点词库拦截。</w:t>
      </w:r>
    </w:p>
    <w:p>
      <w:pPr>
        <w:pStyle w:val="ListBullet"/>
        <w:spacing w:line="336" w:lineRule="auto" w:after="40"/>
      </w:pPr>
      <w:r>
        <w:rPr>
          <w:rFonts w:ascii="Times New Roman" w:hAnsi="Times New Roman" w:eastAsia="宋体"/>
          <w:b/>
          <w:sz w:val="24"/>
        </w:rPr>
        <w:t>交易：</w:t>
      </w:r>
      <w:r>
        <w:rPr>
          <w:rFonts w:ascii="Times New Roman" w:hAnsi="Times New Roman" w:eastAsia="宋体"/>
          <w:b w:val="0"/>
          <w:sz w:val="24"/>
        </w:rPr>
        <w:t>合同主体三要素（签约主体/收费主体/交付主体）不一致即同关；三条 Consent；生效保护。</w:t>
      </w:r>
    </w:p>
    <w:p>
      <w:pPr>
        <w:pStyle w:val="ListBullet"/>
        <w:spacing w:line="336" w:lineRule="auto" w:after="40"/>
      </w:pPr>
      <w:r>
        <w:rPr>
          <w:rFonts w:ascii="Times New Roman" w:hAnsi="Times New Roman" w:eastAsia="宋体"/>
          <w:b/>
          <w:sz w:val="24"/>
        </w:rPr>
        <w:t>付款：</w:t>
      </w:r>
      <w:r>
        <w:rPr>
          <w:rFonts w:ascii="Times New Roman" w:hAnsi="Times New Roman" w:eastAsia="宋体"/>
          <w:b w:val="0"/>
          <w:sz w:val="24"/>
        </w:rPr>
        <w:t>仅平台服务费可建账 confirmed；对公账户白名单、双人核验、verified 后才开收据；变更冻结。</w:t>
      </w:r>
    </w:p>
    <w:p>
      <w:pPr>
        <w:pStyle w:val="ListBullet"/>
        <w:spacing w:line="336" w:lineRule="auto" w:after="40"/>
      </w:pPr>
      <w:r>
        <w:rPr>
          <w:rFonts w:ascii="Times New Roman" w:hAnsi="Times New Roman" w:eastAsia="宋体"/>
          <w:b/>
          <w:sz w:val="24"/>
        </w:rPr>
        <w:t>建案：</w:t>
      </w:r>
      <w:r>
        <w:rPr>
          <w:rFonts w:ascii="Times New Roman" w:hAnsi="Times New Roman" w:eastAsia="宋体"/>
          <w:b w:val="0"/>
          <w:sz w:val="24"/>
        </w:rPr>
        <w:t>合同生效 + 首付核验通过才允许建案；案件 9 阶段 + 异常独立段。</w:t>
      </w:r>
    </w:p>
    <w:p>
      <w:pPr>
        <w:pStyle w:val="ListBullet"/>
        <w:spacing w:line="336" w:lineRule="auto" w:after="40"/>
      </w:pPr>
      <w:r>
        <w:rPr>
          <w:rFonts w:ascii="Times New Roman" w:hAnsi="Times New Roman" w:eastAsia="宋体"/>
          <w:b/>
          <w:sz w:val="24"/>
        </w:rPr>
        <w:t>材料：</w:t>
      </w:r>
      <w:r>
        <w:rPr>
          <w:rFonts w:ascii="Times New Roman" w:hAnsi="Times New Roman" w:eastAsia="宋体"/>
          <w:b w:val="0"/>
          <w:sz w:val="24"/>
        </w:rPr>
        <w:t>材料模板×申请人幂等清单、三重授权、哈希校验；旧版再传自动 superseded。</w:t>
      </w:r>
    </w:p>
    <w:p>
      <w:pPr>
        <w:pStyle w:val="ListBullet"/>
        <w:spacing w:line="336" w:lineRule="auto" w:after="40"/>
      </w:pPr>
      <w:r>
        <w:rPr>
          <w:rFonts w:ascii="Times New Roman" w:hAnsi="Times New Roman" w:eastAsia="宋体"/>
          <w:b/>
          <w:sz w:val="24"/>
        </w:rPr>
        <w:t>时间线：</w:t>
      </w:r>
      <w:r>
        <w:rPr>
          <w:rFonts w:ascii="Times New Roman" w:hAnsi="Times New Roman" w:eastAsia="宋体"/>
          <w:b w:val="0"/>
          <w:sz w:val="24"/>
        </w:rPr>
        <w:t>时间线分客户/顾问/服务方/官方四级来源，物理分离；无凭据不发官方节点；核验人≠发起人。</w:t>
      </w:r>
    </w:p>
    <w:p>
      <w:pPr>
        <w:pStyle w:val="ListBullet"/>
        <w:spacing w:line="336" w:lineRule="auto" w:after="40"/>
      </w:pPr>
      <w:r>
        <w:rPr>
          <w:rFonts w:ascii="Times New Roman" w:hAnsi="Times New Roman" w:eastAsia="宋体"/>
          <w:b/>
          <w:sz w:val="24"/>
        </w:rPr>
        <w:t>授权：</w:t>
      </w:r>
      <w:r>
        <w:rPr>
          <w:rFonts w:ascii="Times New Roman" w:hAnsi="Times New Roman" w:eastAsia="宋体"/>
          <w:b w:val="0"/>
          <w:sz w:val="24"/>
        </w:rPr>
        <w:t>授权按“人员×案件×动作×有效期”四维度，五步授权逐项确认不可跳步，到期停新接旧。</w:t>
      </w:r>
    </w:p>
    <w:p>
      <w:pPr>
        <w:pStyle w:val="ListBullet"/>
        <w:spacing w:line="336" w:lineRule="auto" w:after="40"/>
      </w:pPr>
      <w:r>
        <w:rPr>
          <w:rFonts w:ascii="Times New Roman" w:hAnsi="Times New Roman" w:eastAsia="宋体"/>
          <w:b/>
          <w:sz w:val="24"/>
        </w:rPr>
        <w:t>门户：</w:t>
      </w:r>
      <w:r>
        <w:rPr>
          <w:rFonts w:ascii="Times New Roman" w:hAnsi="Times New Roman" w:eastAsia="宋体"/>
          <w:b w:val="0"/>
          <w:sz w:val="24"/>
        </w:rPr>
        <w:t>门户只读 + 全屏水印 + 批次授权 + 影印 14 天到期回收 + 原件特殊审批，自营服务方不豁免。</w:t>
      </w:r>
    </w:p>
    <w:p>
      <w:pPr>
        <w:pStyle w:val="ListBullet"/>
        <w:spacing w:line="336" w:lineRule="auto" w:after="40"/>
      </w:pPr>
      <w:r>
        <w:rPr>
          <w:rFonts w:ascii="Times New Roman" w:hAnsi="Times New Roman" w:eastAsia="宋体"/>
          <w:b/>
          <w:sz w:val="24"/>
        </w:rPr>
        <w:t>通知：</w:t>
      </w:r>
      <w:r>
        <w:rPr>
          <w:rFonts w:ascii="Times New Roman" w:hAnsi="Times New Roman" w:eastAsia="宋体"/>
          <w:b w:val="0"/>
          <w:sz w:val="24"/>
        </w:rPr>
        <w:t>T0 时限多通道换道：App 2 小时未读 → 短信 → 人工 → 4 小时内升级主管；超期只升级、不改截止时间。</w:t>
      </w:r>
    </w:p>
    <w:p>
      <w:pPr>
        <w:pStyle w:val="Heading2"/>
      </w:pPr>
      <w:bookmarkStart w:id="29" w:name="_LarkToc00029"/>
      <w:r>
        <w:rPr>
          <w:rFonts w:ascii="Times New Roman" w:hAnsi="Times New Roman" w:eastAsia="黑体"/>
          <w:b/>
          <w:color w:val="1B2433"/>
          <w:sz w:val="28"/>
        </w:rPr>
        <w:t>5.4 研发级 PRD M1–M5</w:t>
      </w:r>
      <w:bookmarkEnd w:id="29"/>
    </w:p>
    <w:p>
      <w:pPr>
        <w:spacing w:line="360" w:lineRule="auto"/>
        <w:ind w:firstLine="480"/>
      </w:pPr>
      <w:r>
        <w:rPr>
          <w:rFonts w:ascii="Times New Roman" w:hAnsi="Times New Roman" w:eastAsia="宋体"/>
          <w:b w:val="0"/>
          <w:sz w:val="24"/>
        </w:rPr>
        <w:t>功能卡与状态机冻结后，于 2026 年 9 月 22 日产出五份研发级 PRD 并冻结基线 prd-frozen-v1.0。每份均包含状态机、REST 契约、服务端闸门、权限、异常恢复、验收用例（AT 映射）与发布策略：</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90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里程碑</w:t>
            </w:r>
          </w:p>
        </w:tc>
        <w:tc>
          <w:tcPr>
            <w:tcW w:type="dxa" w:w="2358"/>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主题</w:t>
            </w:r>
          </w:p>
        </w:tc>
        <w:tc>
          <w:tcPr>
            <w:tcW w:type="dxa" w:w="5805"/>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范围</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M1</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内容治理与初步评估</w:t>
            </w:r>
          </w:p>
        </w:tc>
        <w:tc>
          <w:tcPr>
            <w:tcW w:type="dxa" w:w="580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内容四眼发布、游客浏览、初评四结果、顾问入驻与授权五步、名片白名单、数据源开关、质量看板</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M2</w:t>
            </w:r>
          </w:p>
        </w:tc>
        <w:tc>
          <w:tcPr>
            <w:tcW w:type="dxa" w:w="235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方案与交易</w:t>
            </w:r>
          </w:p>
        </w:tc>
        <w:tc>
          <w:tcPr>
            <w:tcW w:type="dxa" w:w="580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双向关系、咨询分配、方案版本化与报价复核、iPad 双模式、订单状态、主体三要素门、合同五要素、凭证核验与收据、变更退款</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M3</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交付与受控门户</w:t>
            </w:r>
          </w:p>
        </w:tc>
        <w:tc>
          <w:tcPr>
            <w:tcW w:type="dxa" w:w="580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案件/任务/材料四态、四级来源与凭据核验、T0 多通道升级、家庭授权与监护、A02 供给准入、门户批次授权与受控阅读器、顾问交接五步</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M4</w:t>
            </w:r>
          </w:p>
        </w:tc>
        <w:tc>
          <w:tcPr>
            <w:tcW w:type="dxa" w:w="235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保障结算与合规后台</w:t>
            </w:r>
          </w:p>
        </w:tc>
        <w:tc>
          <w:tcPr>
            <w:tcW w:type="dxa" w:w="580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工单投诉独立受理与回避、合规事件链路、退款执行、佣金六态与双人结算、通知治理、防骗教育、A10/A11/A12</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M5</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开放准备与合规上线</w:t>
            </w:r>
          </w:p>
        </w:tc>
        <w:tc>
          <w:tcPr>
            <w:tcW w:type="dxa" w:w="580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安全基线、隐私交付物、保留删除与注销、签证数据源授权门 Q6、发布工程、影子→邀请灰度、出口验收</w:t>
            </w:r>
          </w:p>
        </w:tc>
      </w:tr>
    </w:tbl>
    <w:p>
      <w:pPr>
        <w:spacing w:after="40"/>
      </w:pPr>
    </w:p>
    <w:p>
      <w:pPr>
        <w:pStyle w:val="Heading2"/>
      </w:pPr>
      <w:bookmarkStart w:id="30" w:name="_LarkToc00030"/>
      <w:r>
        <w:rPr>
          <w:rFonts w:ascii="Times New Roman" w:hAnsi="Times New Roman" w:eastAsia="黑体"/>
          <w:b/>
          <w:color w:val="1B2433"/>
          <w:sz w:val="28"/>
        </w:rPr>
        <w:t>5.5 内容红线 14 条</w:t>
      </w:r>
      <w:bookmarkEnd w:id="30"/>
    </w:p>
    <w:p>
      <w:pPr>
        <w:spacing w:line="360" w:lineRule="auto"/>
        <w:ind w:firstLine="480"/>
      </w:pPr>
      <w:r>
        <w:rPr>
          <w:rFonts w:ascii="Times New Roman" w:hAnsi="Times New Roman" w:eastAsia="宋体"/>
          <w:b w:val="0"/>
          <w:sz w:val="24"/>
        </w:rPr>
        <w:t>PRD 把全行业最容易出问题的承诺与口径固化为 14 条内容红线，逐条落到服务端闸门与测试，UI 文案和 AI 回答不得逾越：</w:t>
      </w:r>
    </w:p>
    <w:p>
      <w:pPr>
        <w:pStyle w:val="ListBullet"/>
        <w:spacing w:line="336" w:lineRule="auto" w:after="40"/>
      </w:pPr>
      <w:r>
        <w:rPr>
          <w:rFonts w:ascii="Times New Roman" w:hAnsi="Times New Roman" w:eastAsia="宋体"/>
          <w:b/>
          <w:sz w:val="24"/>
        </w:rPr>
        <w:t>红线01：</w:t>
      </w:r>
      <w:r>
        <w:rPr>
          <w:rFonts w:ascii="Times New Roman" w:hAnsi="Times New Roman" w:eastAsia="宋体"/>
          <w:b w:val="0"/>
          <w:sz w:val="24"/>
        </w:rPr>
        <w:t>无成功率、获批率、百分比；初评只输出符合/差距/待确认/未承诺。</w:t>
      </w:r>
    </w:p>
    <w:p>
      <w:pPr>
        <w:pStyle w:val="ListBullet"/>
        <w:spacing w:line="336" w:lineRule="auto" w:after="40"/>
      </w:pPr>
      <w:r>
        <w:rPr>
          <w:rFonts w:ascii="Times New Roman" w:hAnsi="Times New Roman" w:eastAsia="宋体"/>
          <w:b/>
          <w:sz w:val="24"/>
        </w:rPr>
        <w:t>红线02：</w:t>
      </w:r>
      <w:r>
        <w:rPr>
          <w:rFonts w:ascii="Times New Roman" w:hAnsi="Times New Roman" w:eastAsia="宋体"/>
          <w:b w:val="0"/>
          <w:sz w:val="24"/>
        </w:rPr>
        <w:t>费用必须分项、标注收取方、币种与确定性；异币种不合计，待确认（tbc）不等于 0。</w:t>
      </w:r>
    </w:p>
    <w:p>
      <w:pPr>
        <w:pStyle w:val="ListBullet"/>
        <w:spacing w:line="336" w:lineRule="auto" w:after="40"/>
      </w:pPr>
      <w:r>
        <w:rPr>
          <w:rFonts w:ascii="Times New Roman" w:hAnsi="Times New Roman" w:eastAsia="宋体"/>
          <w:b/>
          <w:sz w:val="24"/>
        </w:rPr>
        <w:t>红线03：</w:t>
      </w:r>
      <w:r>
        <w:rPr>
          <w:rFonts w:ascii="Times New Roman" w:hAnsi="Times New Roman" w:eastAsia="宋体"/>
          <w:b w:val="0"/>
          <w:sz w:val="24"/>
        </w:rPr>
        <w:t>时间线四级来源；无凭据不发官方节点；服务方记录≠官方记录；核验人≠发起人。</w:t>
      </w:r>
    </w:p>
    <w:p>
      <w:pPr>
        <w:pStyle w:val="ListBullet"/>
        <w:spacing w:line="336" w:lineRule="auto" w:after="40"/>
      </w:pPr>
      <w:r>
        <w:rPr>
          <w:rFonts w:ascii="Times New Roman" w:hAnsi="Times New Roman" w:eastAsia="宋体"/>
          <w:b/>
          <w:sz w:val="24"/>
        </w:rPr>
        <w:t>红线04：</w:t>
      </w:r>
      <w:r>
        <w:rPr>
          <w:rFonts w:ascii="Times New Roman" w:hAnsi="Times New Roman" w:eastAsia="宋体"/>
          <w:b w:val="0"/>
          <w:sz w:val="24"/>
        </w:rPr>
        <w:t>签约/收费/交付主体三要素不一致同时关闭。</w:t>
      </w:r>
    </w:p>
    <w:p>
      <w:pPr>
        <w:pStyle w:val="ListBullet"/>
        <w:spacing w:line="336" w:lineRule="auto" w:after="40"/>
      </w:pPr>
      <w:r>
        <w:rPr>
          <w:rFonts w:ascii="Times New Roman" w:hAnsi="Times New Roman" w:eastAsia="宋体"/>
          <w:b/>
          <w:sz w:val="24"/>
        </w:rPr>
        <w:t>红线05：</w:t>
      </w:r>
      <w:r>
        <w:rPr>
          <w:rFonts w:ascii="Times New Roman" w:hAnsi="Times New Roman" w:eastAsia="宋体"/>
          <w:b w:val="0"/>
          <w:sz w:val="24"/>
        </w:rPr>
        <w:t>T0 多通道换道；超期只升级不改截止；锁屏脱敏。</w:t>
      </w:r>
    </w:p>
    <w:p>
      <w:pPr>
        <w:pStyle w:val="ListBullet"/>
        <w:spacing w:line="336" w:lineRule="auto" w:after="40"/>
      </w:pPr>
      <w:r>
        <w:rPr>
          <w:rFonts w:ascii="Times New Roman" w:hAnsi="Times New Roman" w:eastAsia="宋体"/>
          <w:b/>
          <w:sz w:val="24"/>
        </w:rPr>
        <w:t>红线06：</w:t>
      </w:r>
      <w:r>
        <w:rPr>
          <w:rFonts w:ascii="Times New Roman" w:hAnsi="Times New Roman" w:eastAsia="宋体"/>
          <w:b w:val="0"/>
          <w:sz w:val="24"/>
        </w:rPr>
        <w:t>顾问不改金额、不改到账、不发官方进度；财务不见原件，职责分离。</w:t>
      </w:r>
    </w:p>
    <w:p>
      <w:pPr>
        <w:pStyle w:val="ListBullet"/>
        <w:spacing w:line="336" w:lineRule="auto" w:after="40"/>
      </w:pPr>
      <w:r>
        <w:rPr>
          <w:rFonts w:ascii="Times New Roman" w:hAnsi="Times New Roman" w:eastAsia="宋体"/>
          <w:b/>
          <w:sz w:val="24"/>
        </w:rPr>
        <w:t>红线07：</w:t>
      </w:r>
      <w:r>
        <w:rPr>
          <w:rFonts w:ascii="Times New Roman" w:hAnsi="Times New Roman" w:eastAsia="宋体"/>
          <w:b w:val="0"/>
          <w:sz w:val="24"/>
        </w:rPr>
        <w:t>佣金六态、结算双人、退款双人冲红、追回（clawback）必填事实原因。</w:t>
      </w:r>
    </w:p>
    <w:p>
      <w:pPr>
        <w:pStyle w:val="ListBullet"/>
        <w:spacing w:line="336" w:lineRule="auto" w:after="40"/>
      </w:pPr>
      <w:r>
        <w:rPr>
          <w:rFonts w:ascii="Times New Roman" w:hAnsi="Times New Roman" w:eastAsia="宋体"/>
          <w:b/>
          <w:sz w:val="24"/>
        </w:rPr>
        <w:t>红线08：</w:t>
      </w:r>
      <w:r>
        <w:rPr>
          <w:rFonts w:ascii="Times New Roman" w:hAnsi="Times New Roman" w:eastAsia="宋体"/>
          <w:b w:val="0"/>
          <w:sz w:val="24"/>
        </w:rPr>
        <w:t>授权五步 + 到期停新接旧。</w:t>
      </w:r>
    </w:p>
    <w:p>
      <w:pPr>
        <w:pStyle w:val="ListBullet"/>
        <w:spacing w:line="336" w:lineRule="auto" w:after="40"/>
      </w:pPr>
      <w:r>
        <w:rPr>
          <w:rFonts w:ascii="Times New Roman" w:hAnsi="Times New Roman" w:eastAsia="宋体"/>
          <w:b/>
          <w:sz w:val="24"/>
        </w:rPr>
        <w:t>红线09：</w:t>
      </w:r>
      <w:r>
        <w:rPr>
          <w:rFonts w:ascii="Times New Roman" w:hAnsi="Times New Roman" w:eastAsia="宋体"/>
          <w:b w:val="0"/>
          <w:sz w:val="24"/>
        </w:rPr>
        <w:t>分享仅核准素材 + 名片白名单，超模板话术需人工署名审核。</w:t>
      </w:r>
    </w:p>
    <w:p>
      <w:pPr>
        <w:pStyle w:val="ListBullet"/>
        <w:spacing w:line="336" w:lineRule="auto" w:after="40"/>
      </w:pPr>
      <w:r>
        <w:rPr>
          <w:rFonts w:ascii="Times New Roman" w:hAnsi="Times New Roman" w:eastAsia="宋体"/>
          <w:b/>
          <w:sz w:val="24"/>
        </w:rPr>
        <w:t>红线10：</w:t>
      </w:r>
      <w:r>
        <w:rPr>
          <w:rFonts w:ascii="Times New Roman" w:hAnsi="Times New Roman" w:eastAsia="宋体"/>
          <w:b w:val="0"/>
          <w:sz w:val="24"/>
        </w:rPr>
        <w:t>平台外成交不监控私讯、禁私收款；关系双向确认、一名主责；换顾问五步。</w:t>
      </w:r>
    </w:p>
    <w:p>
      <w:pPr>
        <w:pStyle w:val="ListBullet"/>
        <w:spacing w:line="336" w:lineRule="auto" w:after="40"/>
      </w:pPr>
      <w:r>
        <w:rPr>
          <w:rFonts w:ascii="Times New Roman" w:hAnsi="Times New Roman" w:eastAsia="宋体"/>
          <w:b/>
          <w:sz w:val="24"/>
        </w:rPr>
        <w:t>红线11：</w:t>
      </w:r>
      <w:r>
        <w:rPr>
          <w:rFonts w:ascii="Times New Roman" w:hAnsi="Times New Roman" w:eastAsia="宋体"/>
          <w:b w:val="0"/>
          <w:sz w:val="24"/>
        </w:rPr>
        <w:t>门户只读 + 水印 + 批次授权 + 到期回收 + 原件特殊审批 + 自营不豁免。</w:t>
      </w:r>
    </w:p>
    <w:p>
      <w:pPr>
        <w:pStyle w:val="ListBullet"/>
        <w:spacing w:line="336" w:lineRule="auto" w:after="40"/>
      </w:pPr>
      <w:r>
        <w:rPr>
          <w:rFonts w:ascii="Times New Roman" w:hAnsi="Times New Roman" w:eastAsia="宋体"/>
          <w:b/>
          <w:sz w:val="24"/>
        </w:rPr>
        <w:t>红线12：</w:t>
      </w:r>
      <w:r>
        <w:rPr>
          <w:rFonts w:ascii="Times New Roman" w:hAnsi="Times New Roman" w:eastAsia="宋体"/>
          <w:b w:val="0"/>
          <w:sz w:val="24"/>
        </w:rPr>
        <w:t>家庭授权按人员×案件×动作×有效期；成年成员本人授权；监护争议转人工。</w:t>
      </w:r>
    </w:p>
    <w:p>
      <w:pPr>
        <w:pStyle w:val="ListBullet"/>
        <w:spacing w:line="336" w:lineRule="auto" w:after="40"/>
      </w:pPr>
      <w:r>
        <w:rPr>
          <w:rFonts w:ascii="Times New Roman" w:hAnsi="Times New Roman" w:eastAsia="宋体"/>
          <w:b/>
          <w:sz w:val="24"/>
        </w:rPr>
        <w:t>红线13：</w:t>
      </w:r>
      <w:r>
        <w:rPr>
          <w:rFonts w:ascii="Times New Roman" w:hAnsi="Times New Roman" w:eastAsia="宋体"/>
          <w:b w:val="0"/>
          <w:sz w:val="24"/>
        </w:rPr>
        <w:t>跨境数据共享单独同意。</w:t>
      </w:r>
    </w:p>
    <w:p>
      <w:pPr>
        <w:pStyle w:val="ListBullet"/>
        <w:spacing w:line="336" w:lineRule="auto" w:after="40"/>
      </w:pPr>
      <w:r>
        <w:rPr>
          <w:rFonts w:ascii="Times New Roman" w:hAnsi="Times New Roman" w:eastAsia="宋体"/>
          <w:b/>
          <w:sz w:val="24"/>
        </w:rPr>
        <w:t>红线14：</w:t>
      </w:r>
      <w:r>
        <w:rPr>
          <w:rFonts w:ascii="Times New Roman" w:hAnsi="Times New Roman" w:eastAsia="宋体"/>
          <w:b w:val="0"/>
          <w:sz w:val="24"/>
        </w:rPr>
        <w:t>超模板话术须人工署名审核。</w:t>
      </w:r>
    </w:p>
    <w:p>
      <w:pPr>
        <w:spacing w:line="360" w:lineRule="auto"/>
        <w:ind w:firstLine="480"/>
      </w:pPr>
      <w:r>
        <w:rPr>
          <w:rFonts w:ascii="Times New Roman" w:hAnsi="Times New Roman" w:eastAsia="宋体"/>
          <w:b w:val="0"/>
          <w:sz w:val="24"/>
        </w:rPr>
        <w:t>金额铁律配套：numeric 与币种分列、异币种不合计、无总价字段、待确认金额以 null 表示而非 0；日元等零小数位币种按币种精度处理。</w:t>
      </w:r>
    </w:p>
    <w:p>
      <w:pPr>
        <w:pStyle w:val="Heading2"/>
      </w:pPr>
      <w:bookmarkStart w:id="31" w:name="_LarkToc00031"/>
      <w:r>
        <w:rPr>
          <w:rFonts w:ascii="Times New Roman" w:hAnsi="Times New Roman" w:eastAsia="黑体"/>
          <w:b/>
          <w:color w:val="1B2433"/>
          <w:sz w:val="28"/>
        </w:rPr>
        <w:t>5.6 初评体系：只做差距提示，不做资格认定</w:t>
      </w:r>
      <w:bookmarkEnd w:id="31"/>
    </w:p>
    <w:p>
      <w:pPr>
        <w:spacing w:line="360" w:lineRule="auto"/>
        <w:ind w:firstLine="480"/>
      </w:pPr>
      <w:r>
        <w:rPr>
          <w:rFonts w:ascii="Times New Roman" w:hAnsi="Times New Roman" w:eastAsia="宋体"/>
          <w:b w:val="0"/>
          <w:sz w:val="24"/>
        </w:rPr>
        <w:t>初评是客户进入的第一步，被刻意设计为“信息整理与差距提示”而非资格认定。问卷模板 TPL-Q-0001 为六题，结论模板 TPL-R-0002、规则集 RULE-0001 覆盖六个维度，输出符合（eligible）、差距（gap）、待确认（unconfirmed）、未承诺（not_committed）四种结果，并固定附带免责声明：“信息整理与差距提示，不是资格认定、不构成法律意见、不代表获批结果，个案以官方审核为准。”问卷与输出模板须经法务审核，配禁用性表述清单与人工责任人。</w:t>
      </w:r>
    </w:p>
    <w:p>
      <w:pPr>
        <w:pStyle w:val="Heading1"/>
      </w:pPr>
      <w:bookmarkStart w:id="32" w:name="_LarkToc00032"/>
      <w:r>
        <w:rPr>
          <w:rFonts w:ascii="Times New Roman" w:hAnsi="Times New Roman" w:eastAsia="黑体"/>
          <w:b/>
          <w:color w:val="1B2433"/>
          <w:sz w:val="32"/>
        </w:rPr>
        <w:t>第 6 章 视觉设计与页面体系</w:t>
      </w:r>
      <w:bookmarkEnd w:id="32"/>
    </w:p>
    <w:p>
      <w:pPr>
        <w:pStyle w:val="Heading2"/>
      </w:pPr>
      <w:bookmarkStart w:id="33" w:name="_LarkToc00033"/>
      <w:r>
        <w:rPr>
          <w:rFonts w:ascii="Times New Roman" w:hAnsi="Times New Roman" w:eastAsia="黑体"/>
          <w:b/>
          <w:color w:val="1B2433"/>
          <w:sz w:val="28"/>
        </w:rPr>
        <w:t>6.1 设计流程纪律</w:t>
      </w:r>
      <w:bookmarkEnd w:id="33"/>
    </w:p>
    <w:p>
      <w:pPr>
        <w:spacing w:line="360" w:lineRule="auto"/>
        <w:ind w:firstLine="480"/>
      </w:pPr>
      <w:r>
        <w:rPr>
          <w:rFonts w:ascii="Times New Roman" w:hAnsi="Times New Roman" w:eastAsia="宋体"/>
          <w:b w:val="0"/>
          <w:sz w:val="24"/>
        </w:rPr>
        <w:t>项目在早期曾发生一次“跳步事故”：未先冻结目录与低保真即直接写高保真，且无路由、存在引号错误，被负责人严厉纠正。此后确立并严格执行的视觉流程为：</w:t>
      </w:r>
    </w:p>
    <w:p>
      <w:pPr>
        <w:pStyle w:val="ListNumber"/>
        <w:spacing w:line="336" w:lineRule="auto" w:after="40"/>
      </w:pPr>
      <w:r>
        <w:rPr>
          <w:rFonts w:ascii="Times New Roman" w:hAnsi="Times New Roman" w:eastAsia="宋体"/>
          <w:b w:val="0"/>
          <w:sz w:val="24"/>
        </w:rPr>
        <w:t>冻结信息架构与页面目录（G-P2）；</w:t>
      </w:r>
    </w:p>
    <w:p>
      <w:pPr>
        <w:pStyle w:val="ListNumber"/>
        <w:spacing w:line="336" w:lineRule="auto" w:after="40"/>
      </w:pPr>
      <w:r>
        <w:rPr>
          <w:rFonts w:ascii="Times New Roman" w:hAnsi="Times New Roman" w:eastAsia="宋体"/>
          <w:b w:val="0"/>
          <w:sz w:val="24"/>
        </w:rPr>
        <w:t>画低保真灰盒线框（W1 客户端 9 屏）；</w:t>
      </w:r>
    </w:p>
    <w:p>
      <w:pPr>
        <w:pStyle w:val="ListNumber"/>
        <w:spacing w:line="336" w:lineRule="auto" w:after="40"/>
      </w:pPr>
      <w:r>
        <w:rPr>
          <w:rFonts w:ascii="Times New Roman" w:hAnsi="Times New Roman" w:eastAsia="宋体"/>
          <w:b w:val="0"/>
          <w:sz w:val="24"/>
        </w:rPr>
        <w:t>做可点击功能样机（prototype-v2，Pass1–Pass8，验证业务闸门与跨端旅程）；</w:t>
      </w:r>
    </w:p>
    <w:p>
      <w:pPr>
        <w:pStyle w:val="ListNumber"/>
        <w:spacing w:line="336" w:lineRule="auto" w:after="40"/>
      </w:pPr>
      <w:r>
        <w:rPr>
          <w:rFonts w:ascii="Times New Roman" w:hAnsi="Times New Roman" w:eastAsia="宋体"/>
          <w:b w:val="0"/>
          <w:sz w:val="24"/>
        </w:rPr>
        <w:t>确定品牌视觉方向（三方向样张，负责人选定方向 C）；</w:t>
      </w:r>
    </w:p>
    <w:p>
      <w:pPr>
        <w:pStyle w:val="ListNumber"/>
        <w:spacing w:line="336" w:lineRule="auto" w:after="40"/>
      </w:pPr>
      <w:r>
        <w:rPr>
          <w:rFonts w:ascii="Times New Roman" w:hAnsi="Times New Roman" w:eastAsia="宋体"/>
          <w:b w:val="0"/>
          <w:sz w:val="24"/>
        </w:rPr>
        <w:t>建设设计系统与组件库（Token、标准件、动效）；</w:t>
      </w:r>
    </w:p>
    <w:p>
      <w:pPr>
        <w:pStyle w:val="ListNumber"/>
        <w:spacing w:line="336" w:lineRule="auto" w:after="40"/>
      </w:pPr>
      <w:r>
        <w:rPr>
          <w:rFonts w:ascii="Times New Roman" w:hAnsi="Times New Roman" w:eastAsia="宋体"/>
          <w:b w:val="0"/>
          <w:sz w:val="24"/>
        </w:rPr>
        <w:t>在组件库之上逐端做高保真；</w:t>
      </w:r>
    </w:p>
    <w:p>
      <w:pPr>
        <w:pStyle w:val="ListNumber"/>
        <w:spacing w:line="336" w:lineRule="auto" w:after="40"/>
      </w:pPr>
      <w:r>
        <w:rPr>
          <w:rFonts w:ascii="Times New Roman" w:hAnsi="Times New Roman" w:eastAsia="宋体"/>
          <w:b w:val="0"/>
          <w:sz w:val="24"/>
        </w:rPr>
        <w:t>逐屏自审批注、修订，再整体精修，最后冻结。</w:t>
      </w:r>
    </w:p>
    <w:p>
      <w:pPr>
        <w:spacing w:line="360" w:lineRule="auto"/>
        <w:ind w:firstLine="480"/>
      </w:pPr>
      <w:r>
        <w:rPr>
          <w:rFonts w:ascii="Times New Roman" w:hAnsi="Times New Roman" w:eastAsia="宋体"/>
          <w:b w:val="0"/>
          <w:sz w:val="24"/>
        </w:rPr>
        <w:t>核心纪律：功能没想清楚不做 UI，UI 没冻结不写代码；已冻结 UI 不得擅自改动，任何视觉偏离必须找回冻结稿。一次单文件演示版因视觉偏离冻结稿（背景过深、方角圆角混用、元素不统一）被负责人要求“找回并冻结”，该偏离版随后归档。</w:t>
      </w:r>
    </w:p>
    <w:p>
      <w:pPr>
        <w:pStyle w:val="Heading2"/>
      </w:pPr>
      <w:bookmarkStart w:id="34" w:name="_LarkToc00034"/>
      <w:r>
        <w:rPr>
          <w:rFonts w:ascii="Times New Roman" w:hAnsi="Times New Roman" w:eastAsia="黑体"/>
          <w:b/>
          <w:color w:val="1B2433"/>
          <w:sz w:val="28"/>
        </w:rPr>
        <w:t>6.2 品牌与视觉方向：莓红到海军蓝的对角渐变</w:t>
      </w:r>
      <w:bookmarkEnd w:id="34"/>
    </w:p>
    <w:p>
      <w:pPr>
        <w:spacing w:line="360" w:lineRule="auto"/>
        <w:ind w:firstLine="480"/>
      </w:pPr>
      <w:r>
        <w:rPr>
          <w:rFonts w:ascii="Times New Roman" w:hAnsi="Times New Roman" w:eastAsia="宋体"/>
          <w:b w:val="0"/>
          <w:sz w:val="24"/>
        </w:rPr>
        <w:t>品牌设计提供了三个方向样张，负责人最终选定方向 C：以莓红（Berry #AF2D67）到深海军蓝（Navy #002661）的对角撞色渐变作为品牌签名。渐变只在关键品牌时刻（页头、主按钮、AI 球、名片、登录页）节奏化穿插，严肃的数据与合规屏保持海军蓝与中性色，避免满屏渐变造成视觉疲劳。</w:t>
      </w:r>
    </w:p>
    <w:p>
      <w:pPr>
        <w:spacing w:line="360" w:lineRule="auto"/>
        <w:ind w:firstLine="480"/>
      </w:pPr>
      <w:r>
        <w:rPr>
          <w:rFonts w:ascii="Times New Roman" w:hAnsi="Times New Roman" w:eastAsia="宋体"/>
          <w:b w:val="0"/>
          <w:sz w:val="24"/>
        </w:rPr>
        <w:t>整体气质对标 Wise / Monzo / 友邦：舒适、温和、不紧张、人人易用；大留白、圆角、清晰层级、轻量动效。</w:t>
      </w:r>
    </w:p>
    <w:p>
      <w:pPr>
        <w:pStyle w:val="Heading2"/>
      </w:pPr>
      <w:bookmarkStart w:id="35" w:name="_LarkToc00035"/>
      <w:r>
        <w:rPr>
          <w:rFonts w:ascii="Times New Roman" w:hAnsi="Times New Roman" w:eastAsia="黑体"/>
          <w:b/>
          <w:color w:val="1B2433"/>
          <w:sz w:val="28"/>
        </w:rPr>
        <w:t>6.3 设计 Token 与组件库</w:t>
      </w:r>
      <w:bookmarkEnd w:id="35"/>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45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类别</w:t>
            </w:r>
          </w:p>
        </w:tc>
        <w:tc>
          <w:tcPr>
            <w:tcW w:type="dxa" w:w="217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Token</w:t>
            </w:r>
          </w:p>
        </w:tc>
        <w:tc>
          <w:tcPr>
            <w:tcW w:type="dxa" w:w="544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值</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品牌主色</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海军蓝 Navy</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#002661（hover #1E3E78，浅底 #EDF1F8）</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品牌强调</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莓红 Berry</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#AF2D67（亮 #C63D80，浅底 #FAEEF4）</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签名渐变</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Signature Gradient</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132deg，#AF2D67 → #5E246B(46%) → #002661，170% 背景 16 秒漂移</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中性色</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舞台/纸面/墨色</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舞台 #E9EDF3；纸面 #F5F7FA；墨色 #1B2433；次要 #5E6B7E；弱 #8A95A6；线 #E5E9F0</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语义色</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成功/警示/错误/信息</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ok #177A5B；琥珀 #B45309；bad #C03221；蓝 #1D5F8A；紫 #6B5AA8</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圆角</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手机/卡片/按钮/胶囊</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手机外框 42；屏幕 32；卡片 18（后台/门户 15）；按钮 22（小 18）；胶囊 999</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阴影</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sh1/sh2</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两级柔和阴影，避免生硬黑边</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字体</w:t>
            </w:r>
          </w:p>
        </w:tc>
        <w:tc>
          <w:tcPr>
            <w:tcW w:type="dxa" w:w="217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西文/中文</w:t>
            </w:r>
          </w:p>
        </w:tc>
        <w:tc>
          <w:tcPr>
            <w:tcW w:type="dxa" w:w="544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Manrope + Noto Sans SC（Web 用飞书字体镜像）</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输入</w:t>
            </w:r>
          </w:p>
        </w:tc>
        <w:tc>
          <w:tcPr>
            <w:tcW w:type="dxa" w:w="217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防 iOS 缩放</w:t>
            </w:r>
          </w:p>
        </w:tc>
        <w:tc>
          <w:tcPr>
            <w:tcW w:type="dxa" w:w="544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输入框字号不小于 16px</w:t>
            </w:r>
          </w:p>
        </w:tc>
      </w:tr>
    </w:tbl>
    <w:p>
      <w:pPr>
        <w:spacing w:after="40"/>
      </w:pPr>
    </w:p>
    <w:p>
      <w:pPr>
        <w:spacing w:line="360" w:lineRule="auto"/>
        <w:ind w:firstLine="480"/>
      </w:pPr>
      <w:r>
        <w:rPr>
          <w:rFonts w:ascii="Times New Roman" w:hAnsi="Times New Roman" w:eastAsia="宋体"/>
          <w:b w:val="0"/>
          <w:sz w:val="24"/>
        </w:rPr>
        <w:t>组件库提供按钮、输入、卡片、宫格、列表、状态标签、Tab、对话框、骨架屏、空态、错误态、离线态等标准件，五端与 React Native 共用同一套 Token（packages/ui-native/src/tokens.ts），保证跨端一致。</w:t>
      </w:r>
    </w:p>
    <w:p>
      <w:pPr>
        <w:pStyle w:val="Heading2"/>
      </w:pPr>
      <w:bookmarkStart w:id="36" w:name="_LarkToc00036"/>
      <w:r>
        <w:rPr>
          <w:rFonts w:ascii="Times New Roman" w:hAnsi="Times New Roman" w:eastAsia="黑体"/>
          <w:b/>
          <w:color w:val="1B2433"/>
          <w:sz w:val="28"/>
        </w:rPr>
        <w:t>6.4 动效体系：高级感来自克制定律</w:t>
      </w:r>
      <w:bookmarkEnd w:id="36"/>
    </w:p>
    <w:p>
      <w:pPr>
        <w:spacing w:line="360" w:lineRule="auto"/>
        <w:ind w:firstLine="480"/>
      </w:pPr>
      <w:r>
        <w:rPr>
          <w:rFonts w:ascii="Times New Roman" w:hAnsi="Times New Roman" w:eastAsia="宋体"/>
          <w:b w:val="0"/>
          <w:sz w:val="24"/>
        </w:rPr>
        <w:t>负责人要求“高级布局配色之外，前端交互要有动态效果、流畅滑动与流动渐变”。v1.3 起系统建立动效规范：</w:t>
      </w:r>
    </w:p>
    <w:p>
      <w:pPr>
        <w:pStyle w:val="ListBullet"/>
        <w:spacing w:line="336" w:lineRule="auto" w:after="40"/>
      </w:pPr>
      <w:r>
        <w:rPr>
          <w:rFonts w:ascii="Times New Roman" w:hAnsi="Times New Roman" w:eastAsia="宋体"/>
          <w:b w:val="0"/>
          <w:sz w:val="24"/>
        </w:rPr>
        <w:t>页面转场 420ms，cubic-bezier(.22,1,.36,1)，元素向上 14px 分层入场，列表项按 nth-child 每项延迟 40ms；</w:t>
      </w:r>
    </w:p>
    <w:p>
      <w:pPr>
        <w:pStyle w:val="ListBullet"/>
        <w:spacing w:line="336" w:lineRule="auto" w:after="40"/>
      </w:pPr>
      <w:r>
        <w:rPr>
          <w:rFonts w:ascii="Times New Roman" w:hAnsi="Times New Roman" w:eastAsia="宋体"/>
          <w:b w:val="0"/>
          <w:sz w:val="24"/>
        </w:rPr>
        <w:t>按钮按压缩放 0.962，Tab 胶囊切换，主按钮悬停扫光；</w:t>
      </w:r>
    </w:p>
    <w:p>
      <w:pPr>
        <w:pStyle w:val="ListBullet"/>
        <w:spacing w:line="336" w:lineRule="auto" w:after="40"/>
      </w:pPr>
      <w:r>
        <w:rPr>
          <w:rFonts w:ascii="Times New Roman" w:hAnsi="Times New Roman" w:eastAsia="宋体"/>
          <w:b w:val="0"/>
          <w:sz w:val="24"/>
        </w:rPr>
        <w:t>AI 球（orb）使用签名渐变 16 秒漂移，思考时呼吸动画；</w:t>
      </w:r>
    </w:p>
    <w:p>
      <w:pPr>
        <w:pStyle w:val="ListBullet"/>
        <w:spacing w:line="336" w:lineRule="auto" w:after="40"/>
      </w:pPr>
      <w:r>
        <w:rPr>
          <w:rFonts w:ascii="Times New Roman" w:hAnsi="Times New Roman" w:eastAsia="宋体"/>
          <w:b w:val="0"/>
          <w:sz w:val="24"/>
        </w:rPr>
        <w:t>T0 超时等关键状态用语义色脉冲提示；</w:t>
      </w:r>
    </w:p>
    <w:p>
      <w:pPr>
        <w:pStyle w:val="ListBullet"/>
        <w:spacing w:line="336" w:lineRule="auto" w:after="40"/>
      </w:pPr>
      <w:r>
        <w:rPr>
          <w:rFonts w:ascii="Times New Roman" w:hAnsi="Times New Roman" w:eastAsia="宋体"/>
          <w:b w:val="0"/>
          <w:sz w:val="24"/>
        </w:rPr>
        <w:t>统一尊重 prefers-reduced-motion，在减弱动效设置下关闭非必要动画。</w:t>
      </w:r>
    </w:p>
    <w:p>
      <w:pPr>
        <w:pStyle w:val="Heading2"/>
      </w:pPr>
      <w:bookmarkStart w:id="37" w:name="_LarkToc00037"/>
      <w:r>
        <w:rPr>
          <w:rFonts w:ascii="Times New Roman" w:hAnsi="Times New Roman" w:eastAsia="黑体"/>
          <w:b/>
          <w:color w:val="1B2433"/>
          <w:sz w:val="28"/>
        </w:rPr>
        <w:t>6.5 五端页面清单与视图规模</w:t>
      </w:r>
      <w:bookmarkEnd w:id="37"/>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63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端</w:t>
            </w:r>
          </w:p>
        </w:tc>
        <w:tc>
          <w:tcPr>
            <w:tcW w:type="dxa" w:w="2358"/>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高保真规模</w:t>
            </w:r>
          </w:p>
        </w:tc>
        <w:tc>
          <w:tcPr>
            <w:tcW w:type="dxa" w:w="508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主要内容</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客户端</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34 视图（分两批 Pass 完成）</w:t>
            </w:r>
          </w:p>
        </w:tc>
        <w:tc>
          <w:tcPr>
            <w:tcW w:type="dxa" w:w="508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登录、首页、评估、项目列表/详情、全球通行、选人、方案、订单、案件、材料、进度、消息、工单、家庭授权、防骗教育、个人中心</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顾问展业端（手机）</w:t>
            </w:r>
          </w:p>
        </w:tc>
        <w:tc>
          <w:tcPr>
            <w:tcW w:type="dxa" w:w="235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27 视图</w:t>
            </w:r>
          </w:p>
        </w:tc>
        <w:tc>
          <w:tcPr>
            <w:tcW w:type="dxa" w:w="508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工作台、客户 360、授权、方案编制、案件、佣金六态、合规红线、学习、AI 工作台</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顾问 iPad</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工作模式 + 客户演示模式</w:t>
            </w:r>
          </w:p>
        </w:tc>
        <w:tc>
          <w:tcPr>
            <w:tcW w:type="dxa" w:w="508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I-01 工作模式 / I-02 客户演示模式 + 五条硬规则</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总后台</w:t>
            </w:r>
          </w:p>
        </w:tc>
        <w:tc>
          <w:tcPr>
            <w:tcW w:type="dxa" w:w="235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登录 + A01–A14</w:t>
            </w:r>
          </w:p>
        </w:tc>
        <w:tc>
          <w:tcPr>
            <w:tcW w:type="dxa" w:w="508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一后台控两端的控制矩阵、内容/关系/财务/交付/合规、A13 AI 中枢、A14 数据工厂</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服务方门户</w:t>
            </w:r>
          </w:p>
        </w:tc>
        <w:tc>
          <w:tcPr>
            <w:tcW w:type="dxa" w:w="235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4 页签 + 双模式</w:t>
            </w:r>
          </w:p>
        </w:tc>
        <w:tc>
          <w:tcPr>
            <w:tcW w:type="dxa" w:w="508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外部持牌/自营交付双模式、批次授权、全屏水印受控阅读器</w:t>
            </w:r>
          </w:p>
        </w:tc>
      </w:tr>
    </w:tbl>
    <w:p>
      <w:pPr>
        <w:spacing w:after="40"/>
      </w:pPr>
    </w:p>
    <w:p>
      <w:pPr>
        <w:spacing w:line="360" w:lineRule="auto"/>
        <w:ind w:firstLine="480"/>
      </w:pPr>
      <w:r>
        <w:rPr>
          <w:rFonts w:ascii="Times New Roman" w:hAnsi="Times New Roman" w:eastAsia="宋体"/>
          <w:b w:val="0"/>
          <w:sz w:val="24"/>
        </w:rPr>
        <w:t>AI 高保真单独成稿并上线：客户端 AI 11 视图（中央凸起 AI Tab）、顾问端 AI 13 视图（v1.8 现行）、总后台 AI 8 页面。另设 UI 总览页 ui-gallery.html，顶部五端切换、左侧页面清单、右侧懒加载 iframe，便于一次性走查全部页面。</w:t>
      </w:r>
    </w:p>
    <w:p>
      <w:pPr>
        <w:pStyle w:val="Heading2"/>
      </w:pPr>
      <w:bookmarkStart w:id="38" w:name="_LarkToc00038"/>
      <w:r>
        <w:rPr>
          <w:rFonts w:ascii="Times New Roman" w:hAnsi="Times New Roman" w:eastAsia="黑体"/>
          <w:b/>
          <w:color w:val="1B2433"/>
          <w:sz w:val="28"/>
        </w:rPr>
        <w:t>6.6 Web 演示外壳与 PWA 可安装</w:t>
      </w:r>
      <w:bookmarkEnd w:id="38"/>
    </w:p>
    <w:p>
      <w:pPr>
        <w:spacing w:line="360" w:lineRule="auto"/>
        <w:ind w:firstLine="480"/>
      </w:pPr>
      <w:r>
        <w:rPr>
          <w:rFonts w:ascii="Times New Roman" w:hAnsi="Times New Roman" w:eastAsia="宋体"/>
          <w:b w:val="0"/>
          <w:sz w:val="24"/>
        </w:rPr>
        <w:t>负责人指出桌面浏览器中“客户端显示不是 App 形式、完全不规则”。团队随后为客户端/顾问端网页加了统一演示外壳：桌面浏览器中居中显示 430px 宽的手机画框，配阴影舞台底；视口宽度小于等于 480px 时自动全屏。修复后负责人评价“特别完美，演示起来很高级”。</w:t>
      </w:r>
    </w:p>
    <w:p>
      <w:pPr>
        <w:spacing w:line="360" w:lineRule="auto"/>
        <w:ind w:firstLine="480"/>
      </w:pPr>
      <w:r>
        <w:rPr>
          <w:rFonts w:ascii="Times New Roman" w:hAnsi="Times New Roman" w:eastAsia="宋体"/>
          <w:b w:val="0"/>
          <w:sz w:val="24"/>
        </w:rPr>
        <w:t>为实现零付费的可安装演示，2026 年 10 月 4 日完成 PWA 方案（v2.3）：提供 manifest、Service Worker（离线缓存）、192/512/maskable 图标与图文安装页 install.html；iPhone 用 Safari“分享→添加到主屏幕”，电脑用 Chrome/Edge 安装。Apple TestFlight 方案已完成图标、启动图与 prebuild 校验，但因需 Apple 付费账号，按负责人决定暂缓、留档不删。</w:t>
      </w:r>
    </w:p>
    <w:p>
      <w:pPr>
        <w:pStyle w:val="Heading1"/>
      </w:pPr>
      <w:bookmarkStart w:id="39" w:name="_LarkToc00039"/>
      <w:r>
        <w:rPr>
          <w:rFonts w:ascii="Times New Roman" w:hAnsi="Times New Roman" w:eastAsia="黑体"/>
          <w:b/>
          <w:color w:val="1B2433"/>
          <w:sz w:val="32"/>
        </w:rPr>
        <w:t>第 7 章 AI 产品与技术</w:t>
      </w:r>
      <w:bookmarkEnd w:id="39"/>
    </w:p>
    <w:p>
      <w:pPr>
        <w:pStyle w:val="Heading2"/>
      </w:pPr>
      <w:bookmarkStart w:id="40" w:name="_LarkToc00040"/>
      <w:r>
        <w:rPr>
          <w:rFonts w:ascii="Times New Roman" w:hAnsi="Times New Roman" w:eastAsia="黑体"/>
          <w:b/>
          <w:color w:val="1B2433"/>
          <w:sz w:val="28"/>
        </w:rPr>
        <w:t>7.1 战略定位：AI 是系统的核心，而非附属功能</w:t>
      </w:r>
      <w:bookmarkEnd w:id="40"/>
    </w:p>
    <w:p>
      <w:pPr>
        <w:spacing w:line="360" w:lineRule="auto"/>
        <w:ind w:firstLine="480"/>
      </w:pPr>
      <w:r>
        <w:rPr>
          <w:rFonts w:ascii="Times New Roman" w:hAnsi="Times New Roman" w:eastAsia="宋体"/>
          <w:b w:val="0"/>
          <w:sz w:val="24"/>
        </w:rPr>
        <w:t>负责人明确判断：未来趋势是用文字描述和语音对话直接由 AI 完成需求与工作，AI 是本系统面向投资人的核心叙事。因此客户端与顾问端均把 AI 升为底部导航栏中央凸起的主 Tab（7 Tab 布局），AI 球以签名渐变漂移成为视觉焦点；总后台则把 AI 拆为 A13（AI 运营与中枢）与 A14（AI 数据工厂）两个模块。AI 设计遵循“产品设计先行，再定技术路线、再出原型、最后做 UI”的顺序。</w:t>
      </w:r>
    </w:p>
    <w:p>
      <w:pPr>
        <w:pStyle w:val="Heading2"/>
      </w:pPr>
      <w:bookmarkStart w:id="41" w:name="_LarkToc00041"/>
      <w:r>
        <w:rPr>
          <w:rFonts w:ascii="Times New Roman" w:hAnsi="Times New Roman" w:eastAsia="黑体"/>
          <w:b/>
          <w:color w:val="1B2433"/>
          <w:sz w:val="28"/>
        </w:rPr>
        <w:t>7.2 三端 AI 的分工</w:t>
      </w:r>
      <w:bookmarkEnd w:id="41"/>
    </w:p>
    <w:p>
      <w:pPr>
        <w:spacing w:line="360" w:lineRule="auto"/>
        <w:ind w:firstLine="480"/>
      </w:pPr>
      <w:r>
        <w:rPr>
          <w:rFonts w:ascii="Times New Roman" w:hAnsi="Times New Roman" w:eastAsia="宋体"/>
          <w:b w:val="0"/>
          <w:sz w:val="24"/>
        </w:rPr>
        <w:t>负责人在迭代中明确了三端 AI 的不同定位，避免功能同质化：</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27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端</w:t>
            </w:r>
          </w:p>
        </w:tc>
        <w:tc>
          <w:tcPr>
            <w:tcW w:type="dxa" w:w="344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AI 解决什么</w:t>
            </w:r>
          </w:p>
        </w:tc>
        <w:tc>
          <w:tcPr>
            <w:tcW w:type="dxa" w:w="4354"/>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核心能力</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客户端</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客户的需求通过 AI 测算、结合数据给出答案，甚至形成定制方案</w:t>
            </w:r>
          </w:p>
        </w:tc>
        <w:tc>
          <w:tcPr>
            <w:tcW w:type="dxa" w:w="435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需求访谈、画像、项目比较、初评解读、进度/费用/材料问答、防骗、带来源引用、下一步指引</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顾问端</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销售工作、客户诉求处理、培训学习、资料查询，为客户综合诉求形成解决方案</w:t>
            </w:r>
          </w:p>
        </w:tc>
        <w:tc>
          <w:tcPr>
            <w:tcW w:type="dxa" w:w="435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锚定客户对话式工作台、晨间简报、会前准备、跟进记录、建议回复、文书翻译、综合方案、学习中心</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总后台</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知识与数据的治理、模型与 Prompt 运营、AI 质量与风险</w:t>
            </w:r>
          </w:p>
        </w:tc>
        <w:tc>
          <w:tcPr>
            <w:tcW w:type="dxa" w:w="435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知识四眼发布/失效联动、模型矩阵与路由、评测红队、同意审计、生成内容集中审核、数据工厂七工段</w:t>
            </w:r>
          </w:p>
        </w:tc>
      </w:tr>
    </w:tbl>
    <w:p>
      <w:pPr>
        <w:spacing w:after="40"/>
      </w:pPr>
    </w:p>
    <w:p>
      <w:pPr>
        <w:spacing w:line="360" w:lineRule="auto"/>
        <w:ind w:firstLine="480"/>
      </w:pPr>
      <w:r>
        <w:rPr>
          <w:rFonts w:ascii="Times New Roman" w:hAnsi="Times New Roman" w:eastAsia="宋体"/>
          <w:b w:val="0"/>
          <w:sz w:val="24"/>
        </w:rPr>
        <w:t>顾问端 AI 历经 v0.1（被否，留档）→ v0.2（锚定客户、案头/展业两状态）→ v1.7（按分工补强销售管线、综合诉求、查询与培训）→ v1.8（AI 升为中央凸起主 Tab、新增学习 Tab、13 视图）的迭代；被否版本明确保留为存档，并登记“存疑与待办”，后续可回看。</w:t>
      </w:r>
    </w:p>
    <w:p>
      <w:pPr>
        <w:pStyle w:val="Heading2"/>
      </w:pPr>
      <w:bookmarkStart w:id="42" w:name="_LarkToc00042"/>
      <w:r>
        <w:rPr>
          <w:rFonts w:ascii="Times New Roman" w:hAnsi="Times New Roman" w:eastAsia="黑体"/>
          <w:b/>
          <w:color w:val="1B2433"/>
          <w:sz w:val="28"/>
        </w:rPr>
        <w:t>7.3 回答契约：固定结构让答案可核验</w:t>
      </w:r>
      <w:bookmarkEnd w:id="42"/>
    </w:p>
    <w:p>
      <w:pPr>
        <w:spacing w:line="360" w:lineRule="auto"/>
        <w:ind w:firstLine="480"/>
      </w:pPr>
      <w:r>
        <w:rPr>
          <w:rFonts w:ascii="Times New Roman" w:hAnsi="Times New Roman" w:eastAsia="宋体"/>
          <w:b w:val="0"/>
          <w:sz w:val="24"/>
        </w:rPr>
        <w:t>客户端 AI 的每次回答遵循固定四段结构：直接结论 → 分项说明 → 来源引用 → 下一步建议。AI 不做资格结论、不做获批预测、不做对外承诺、不替代人工；超出范围或无依据时走兜底并额外审计。</w:t>
      </w:r>
    </w:p>
    <w:p>
      <w:pPr>
        <w:spacing w:line="360" w:lineRule="auto"/>
        <w:ind w:firstLine="480"/>
      </w:pPr>
      <w:r>
        <w:rPr>
          <w:rFonts w:ascii="Times New Roman" w:hAnsi="Times New Roman" w:eastAsia="宋体"/>
          <w:b w:val="0"/>
          <w:sz w:val="24"/>
        </w:rPr>
        <w:t>八类高频意图由确定性引擎 grounded 回答：问候、防骗、进度、费用、材料、初评等，答案全部来自系统已发布数据并附来源；顾问端按“#编号锚定客户”，并物理排除支付、到账、投诉、L3 合规事件及非归属客户的数据。</w:t>
      </w:r>
    </w:p>
    <w:p>
      <w:pPr>
        <w:pStyle w:val="Heading2"/>
      </w:pPr>
      <w:bookmarkStart w:id="43" w:name="_LarkToc00043"/>
      <w:r>
        <w:rPr>
          <w:rFonts w:ascii="Times New Roman" w:hAnsi="Times New Roman" w:eastAsia="黑体"/>
          <w:b/>
          <w:color w:val="1B2433"/>
          <w:sz w:val="28"/>
        </w:rPr>
        <w:t>7.4 安全护栏：单独同意、密级隔离、AI 不触发业务动作</w:t>
      </w:r>
      <w:bookmarkEnd w:id="43"/>
    </w:p>
    <w:p>
      <w:pPr>
        <w:pStyle w:val="ListBullet"/>
        <w:spacing w:line="336" w:lineRule="auto" w:after="40"/>
      </w:pPr>
      <w:r>
        <w:rPr>
          <w:rFonts w:ascii="Times New Roman" w:hAnsi="Times New Roman" w:eastAsia="宋体"/>
          <w:b/>
          <w:sz w:val="24"/>
        </w:rPr>
        <w:t>授权与数据：</w:t>
      </w:r>
      <w:r>
        <w:rPr>
          <w:rFonts w:ascii="Times New Roman" w:hAnsi="Times New Roman" w:eastAsia="宋体"/>
          <w:b w:val="0"/>
          <w:sz w:val="24"/>
        </w:rPr>
        <w:t>AI 首次使用须单独同意（区别于用户协议）；L3 级敏感资料不进入任何模型上下文；会话可删除。</w:t>
      </w:r>
    </w:p>
    <w:p>
      <w:pPr>
        <w:pStyle w:val="ListBullet"/>
        <w:spacing w:line="336" w:lineRule="auto" w:after="40"/>
      </w:pPr>
      <w:r>
        <w:rPr>
          <w:rFonts w:ascii="Times New Roman" w:hAnsi="Times New Roman" w:eastAsia="宋体"/>
          <w:b/>
          <w:sz w:val="24"/>
        </w:rPr>
        <w:t>模型护栏：</w:t>
      </w:r>
      <w:r>
        <w:rPr>
          <w:rFonts w:ascii="Times New Roman" w:hAnsi="Times New Roman" w:eastAsia="宋体"/>
          <w:b w:val="0"/>
          <w:sz w:val="24"/>
        </w:rPr>
        <w:t>提示注入隔离（指令与数据物理分隔）、越狱红队、跨客户/跨行业泄漏测试、生成后接地校验。</w:t>
      </w:r>
    </w:p>
    <w:p>
      <w:pPr>
        <w:pStyle w:val="ListBullet"/>
        <w:spacing w:line="336" w:lineRule="auto" w:after="40"/>
      </w:pPr>
      <w:r>
        <w:rPr>
          <w:rFonts w:ascii="Times New Roman" w:hAnsi="Times New Roman" w:eastAsia="宋体"/>
          <w:b/>
          <w:sz w:val="24"/>
        </w:rPr>
        <w:t>人在回路：</w:t>
      </w:r>
      <w:r>
        <w:rPr>
          <w:rFonts w:ascii="Times New Roman" w:hAnsi="Times New Roman" w:eastAsia="宋体"/>
          <w:b w:val="0"/>
          <w:sz w:val="24"/>
        </w:rPr>
        <w:t>AI 输出只作建议与初稿，不直接触发任何业务动作（不改金额、不发官方节点、不外发消息）；顾问端生成内容逐项确认后才入库，消息仅复制不自动外发。</w:t>
      </w:r>
    </w:p>
    <w:p>
      <w:pPr>
        <w:pStyle w:val="ListBullet"/>
        <w:spacing w:line="336" w:lineRule="auto" w:after="40"/>
      </w:pPr>
      <w:r>
        <w:rPr>
          <w:rFonts w:ascii="Times New Roman" w:hAnsi="Times New Roman" w:eastAsia="宋体"/>
          <w:b/>
          <w:sz w:val="24"/>
        </w:rPr>
        <w:t>自动降级：</w:t>
      </w:r>
      <w:r>
        <w:rPr>
          <w:rFonts w:ascii="Times New Roman" w:hAnsi="Times New Roman" w:eastAsia="宋体"/>
          <w:b w:val="0"/>
          <w:sz w:val="24"/>
        </w:rPr>
        <w:t>本地模型不可用或接地校验失败时，自动降级到确定性 D 模式，状态对用户透明。</w:t>
      </w:r>
    </w:p>
    <w:p>
      <w:pPr>
        <w:pStyle w:val="ListBullet"/>
        <w:spacing w:line="336" w:lineRule="auto" w:after="40"/>
      </w:pPr>
      <w:r>
        <w:rPr>
          <w:rFonts w:ascii="Times New Roman" w:hAnsi="Times New Roman" w:eastAsia="宋体"/>
          <w:b/>
          <w:sz w:val="24"/>
        </w:rPr>
        <w:t>回归红线：</w:t>
      </w:r>
      <w:r>
        <w:rPr>
          <w:rFonts w:ascii="Times New Roman" w:hAnsi="Times New Roman" w:eastAsia="宋体"/>
          <w:b w:val="0"/>
          <w:sz w:val="24"/>
        </w:rPr>
        <w:t>模型/Prompt 每次升版全量回归，红线用例必须 100% 拦截才允许发布。</w:t>
      </w:r>
    </w:p>
    <w:p>
      <w:pPr>
        <w:pStyle w:val="Heading2"/>
      </w:pPr>
      <w:bookmarkStart w:id="44" w:name="_LarkToc00044"/>
      <w:r>
        <w:rPr>
          <w:rFonts w:ascii="Times New Roman" w:hAnsi="Times New Roman" w:eastAsia="黑体"/>
          <w:b/>
          <w:color w:val="1B2433"/>
          <w:sz w:val="28"/>
        </w:rPr>
        <w:t>7.5 技术路线：Grounded + LLM 混合（L/S/D 三模式）</w:t>
      </w:r>
      <w:bookmarkEnd w:id="44"/>
    </w:p>
    <w:p>
      <w:pPr>
        <w:spacing w:line="360" w:lineRule="auto"/>
        <w:ind w:firstLine="480"/>
      </w:pPr>
      <w:r>
        <w:rPr>
          <w:rFonts w:ascii="Times New Roman" w:hAnsi="Times New Roman" w:eastAsia="宋体"/>
          <w:b w:val="0"/>
          <w:sz w:val="24"/>
        </w:rPr>
        <w:t>AI 深度升级（U1）确立“事实由系统供给，语言由模型组织，决定由人作出”的混合架构，分三种模式：</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089"/>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模式</w:t>
            </w:r>
          </w:p>
        </w:tc>
        <w:tc>
          <w:tcPr>
            <w:tcW w:type="dxa" w:w="4535"/>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说明</w:t>
            </w:r>
          </w:p>
        </w:tc>
        <w:tc>
          <w:tcPr>
            <w:tcW w:type="dxa" w:w="344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场景</w:t>
            </w:r>
          </w:p>
        </w:tc>
      </w:tr>
      <w:tr>
        <w:trPr>
          <w:cantSplit/>
        </w:trPr>
        <w:tc>
          <w:tcPr>
            <w:tcW w:type="dxa" w:w="1089"/>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L（本地）</w:t>
            </w:r>
          </w:p>
        </w:tc>
        <w:tc>
          <w:tcPr>
            <w:tcW w:type="dxa" w:w="453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浏览器/服务端直连本机 Ollama，Qwen 模型流式输出（NDJSON）</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开发期与 Mac 本地演示，数据不出本机</w:t>
            </w:r>
          </w:p>
        </w:tc>
      </w:tr>
      <w:tr>
        <w:trPr>
          <w:cantSplit/>
        </w:trPr>
        <w:tc>
          <w:tcPr>
            <w:tcW w:type="dxa" w:w="1089"/>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S（自托管）</w:t>
            </w:r>
          </w:p>
        </w:tc>
        <w:tc>
          <w:tcPr>
            <w:tcW w:type="dxa" w:w="453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公司自托管 vLLM 服务端，SSE 流式</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团队生产期</w:t>
            </w:r>
          </w:p>
        </w:tc>
      </w:tr>
      <w:tr>
        <w:trPr>
          <w:cantSplit/>
        </w:trPr>
        <w:tc>
          <w:tcPr>
            <w:tcW w:type="dxa" w:w="1089"/>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D（确定性）</w:t>
            </w:r>
          </w:p>
        </w:tc>
        <w:tc>
          <w:tcPr>
            <w:tcW w:type="dxa" w:w="453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确定性 grounded 问答，零幻觉</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L/S 不可用或校验失败时的兜底；高敏事实默认</w:t>
            </w:r>
          </w:p>
        </w:tc>
      </w:tr>
    </w:tbl>
    <w:p>
      <w:pPr>
        <w:spacing w:after="40"/>
      </w:pPr>
    </w:p>
    <w:p>
      <w:pPr>
        <w:spacing w:line="360" w:lineRule="auto"/>
        <w:ind w:firstLine="480"/>
      </w:pPr>
      <w:r>
        <w:rPr>
          <w:rFonts w:ascii="Times New Roman" w:hAnsi="Times New Roman" w:eastAsia="宋体"/>
          <w:b w:val="0"/>
          <w:sz w:val="24"/>
        </w:rPr>
        <w:t>前端通过 ChatProvider 抽象（OllamaLocal / ServerAi）切换，无需改业务代码；调用链为 probe（探测本地模型）→ ask（流式提问）→ validate（WordEngine 违禁词 + 硬模式 + 数值接地校验）→ 不通过则降级 D。服务端 context.service 构造七类上下文包，服务方与 L3 信息不进包，注入内容先做隔离预扫描。</w:t>
      </w:r>
    </w:p>
    <w:p>
      <w:pPr>
        <w:spacing w:line="360" w:lineRule="auto"/>
        <w:ind w:firstLine="480"/>
      </w:pPr>
      <w:r>
        <w:rPr>
          <w:rFonts w:ascii="Times New Roman" w:hAnsi="Times New Roman" w:eastAsia="宋体"/>
          <w:b w:val="0"/>
          <w:sz w:val="24"/>
        </w:rPr>
        <w:t>开发期浏览器直连本机 Ollama 需设置 OLLAMA_ORIGINS 放行演示站点与本地端口；本地以 Qwen 系列为主（qwen3:7b / qwen2.5:7b 文本、qwen2.5vl 视觉），首 token 超时暂定 20 秒、模型探测 1.2–1.5 秒。</w:t>
      </w:r>
    </w:p>
    <w:p>
      <w:pPr>
        <w:pStyle w:val="Heading2"/>
      </w:pPr>
      <w:bookmarkStart w:id="45" w:name="_LarkToc00045"/>
      <w:r>
        <w:rPr>
          <w:rFonts w:ascii="Times New Roman" w:hAnsi="Times New Roman" w:eastAsia="黑体"/>
          <w:b/>
          <w:color w:val="1B2433"/>
          <w:sz w:val="28"/>
        </w:rPr>
        <w:t>7.6 知识工程落地：K1 Wiki 编译层</w:t>
      </w:r>
      <w:bookmarkEnd w:id="45"/>
    </w:p>
    <w:p>
      <w:pPr>
        <w:spacing w:line="360" w:lineRule="auto"/>
        <w:ind w:firstLine="480"/>
      </w:pPr>
      <w:r>
        <w:rPr>
          <w:rFonts w:ascii="Times New Roman" w:hAnsi="Times New Roman" w:eastAsia="宋体"/>
          <w:b w:val="0"/>
          <w:sz w:val="24"/>
        </w:rPr>
        <w:t>按第 4 章调研结论，K1 先行落地确定性“知识编译层”（wiki.service）：原始件 WS- 不可变，Wiki 页 WP- 经 ingest（采集）→ compile（编译为交叉引用 Markdown，frontmatter 记录来源/版本/编制人/复核人/状态/编译模型）→ lint（确定性四项检查）→ submit（提交）→ review（四眼复核）→ publish（发布）；来源失效时 invalidateForSource 联动失效相关知识页。Wiki 页并入 context.service 知识投影，AI 回答可逐链回溯到原始文件。</w:t>
      </w:r>
    </w:p>
    <w:p>
      <w:pPr>
        <w:pStyle w:val="Heading2"/>
      </w:pPr>
      <w:bookmarkStart w:id="46" w:name="_LarkToc00046"/>
      <w:r>
        <w:rPr>
          <w:rFonts w:ascii="Times New Roman" w:hAnsi="Times New Roman" w:eastAsia="黑体"/>
          <w:b/>
          <w:color w:val="1B2433"/>
          <w:sz w:val="28"/>
        </w:rPr>
        <w:t>7.7 本地 AI 中枢（P0 已落地）</w:t>
      </w:r>
      <w:bookmarkEnd w:id="46"/>
    </w:p>
    <w:p>
      <w:pPr>
        <w:spacing w:line="360" w:lineRule="auto"/>
        <w:ind w:firstLine="480"/>
      </w:pPr>
      <w:r>
        <w:rPr>
          <w:rFonts w:ascii="Times New Roman" w:hAnsi="Times New Roman" w:eastAsia="宋体"/>
          <w:b w:val="0"/>
          <w:sz w:val="24"/>
        </w:rPr>
        <w:t>2026 年 10 月 6 日完成 P0 本地 AI 基建加固（aihub 模块）：</w:t>
      </w:r>
    </w:p>
    <w:p>
      <w:pPr>
        <w:pStyle w:val="ListBullet"/>
        <w:spacing w:line="336" w:lineRule="auto" w:after="40"/>
      </w:pPr>
      <w:r>
        <w:rPr>
          <w:rFonts w:ascii="Times New Roman" w:hAnsi="Times New Roman" w:eastAsia="宋体"/>
          <w:b w:val="0"/>
          <w:sz w:val="24"/>
        </w:rPr>
        <w:t>模型注册表（model.registry）登记五模型目录（快/中/大/视觉/嵌入）并做健康探测；</w:t>
      </w:r>
    </w:p>
    <w:p>
      <w:pPr>
        <w:pStyle w:val="ListBullet"/>
        <w:spacing w:line="336" w:lineRule="auto" w:after="40"/>
      </w:pPr>
      <w:r>
        <w:rPr>
          <w:rFonts w:ascii="Times New Roman" w:hAnsi="Times New Roman" w:eastAsia="宋体"/>
          <w:b w:val="0"/>
          <w:sz w:val="24"/>
        </w:rPr>
        <w:t>模型路由（model.router）按任务复杂度评分选模、敏感任务禁云、支持降级链；</w:t>
      </w:r>
    </w:p>
    <w:p>
      <w:pPr>
        <w:pStyle w:val="ListBullet"/>
        <w:spacing w:line="336" w:lineRule="auto" w:after="40"/>
      </w:pPr>
      <w:r>
        <w:rPr>
          <w:rFonts w:ascii="Times New Roman" w:hAnsi="Times New Roman" w:eastAsia="宋体"/>
          <w:b w:val="0"/>
          <w:sz w:val="24"/>
        </w:rPr>
        <w:t>评测服务（eval.service）沉淀 9 个用例（RT-1..6 路由类、Q-1..3 质量类），生成 gatePassed 评测报告；</w:t>
      </w:r>
    </w:p>
    <w:p>
      <w:pPr>
        <w:pStyle w:val="ListBullet"/>
        <w:spacing w:line="336" w:lineRule="auto" w:after="40"/>
      </w:pPr>
      <w:r>
        <w:rPr>
          <w:rFonts w:ascii="Times New Roman" w:hAnsi="Times New Roman" w:eastAsia="宋体"/>
          <w:b w:val="0"/>
          <w:sz w:val="24"/>
        </w:rPr>
        <w:t>总后台 A13 提供 AiHubOps 可视化：模型状态、路由试跑、评测/红队结果；</w:t>
      </w:r>
    </w:p>
    <w:p>
      <w:pPr>
        <w:pStyle w:val="ListBullet"/>
        <w:spacing w:line="336" w:lineRule="auto" w:after="40"/>
      </w:pPr>
      <w:r>
        <w:rPr>
          <w:rFonts w:ascii="Times New Roman" w:hAnsi="Times New Roman" w:eastAsia="宋体"/>
          <w:b w:val="0"/>
          <w:sz w:val="24"/>
        </w:rPr>
        <w:t>云端无 root 环境下以用户态安装 Ollama（解压到 ~/.local/ollama，配置 LD_LIBRARY_PATH），评测 9/9 通过、红线 100%。</w:t>
      </w:r>
    </w:p>
    <w:p>
      <w:pPr>
        <w:pStyle w:val="Heading2"/>
      </w:pPr>
      <w:bookmarkStart w:id="47" w:name="_LarkToc00047"/>
      <w:r>
        <w:rPr>
          <w:rFonts w:ascii="Times New Roman" w:hAnsi="Times New Roman" w:eastAsia="黑体"/>
          <w:b/>
          <w:color w:val="1B2433"/>
          <w:sz w:val="28"/>
        </w:rPr>
        <w:t>7.8 AI 数据工厂（P1–P3 已落地）：平台核心 IP</w:t>
      </w:r>
      <w:bookmarkEnd w:id="47"/>
    </w:p>
    <w:p>
      <w:pPr>
        <w:spacing w:line="360" w:lineRule="auto"/>
        <w:ind w:firstLine="480"/>
      </w:pPr>
      <w:r>
        <w:rPr>
          <w:rFonts w:ascii="Times New Roman" w:hAnsi="Times New Roman" w:eastAsia="宋体"/>
          <w:b w:val="0"/>
          <w:sz w:val="24"/>
        </w:rPr>
        <w:t>数据工厂把行业“脏、散、乱”的原始资料炼成“准、通、可溯”的规范数据，设七个工段加监控回炼，批次号 BR- 贯穿全程：</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27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工段</w:t>
            </w:r>
          </w:p>
        </w:tc>
        <w:tc>
          <w:tcPr>
            <w:tcW w:type="dxa" w:w="3266"/>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动作</w:t>
            </w:r>
          </w:p>
        </w:tc>
        <w:tc>
          <w:tcPr>
            <w:tcW w:type="dxa" w:w="4535"/>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关键规则</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① 采集接入</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文件夹/扫描件/邮箱/系统导出/手工上传</w:t>
            </w:r>
          </w:p>
        </w:tc>
        <w:tc>
          <w:tcPr>
            <w:tcW w:type="dxa" w:w="453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L0 原始库只追加、不可变；哈希去重；登记密级</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② 分类分诊</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本地模型判定类型/主题/语言/密级/路由</w:t>
            </w:r>
          </w:p>
        </w:tc>
        <w:tc>
          <w:tcPr>
            <w:tcW w:type="dxa" w:w="453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低置信或高密级进人工；可改判且不覆盖原始判定</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③ 版面解析</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数字 PDF 版面解析；扫描件 OCR/VL</w:t>
            </w:r>
          </w:p>
        </w:tc>
        <w:tc>
          <w:tcPr>
            <w:tcW w:type="dxa" w:w="453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输出带页码坐标的版面块；质量问题标记重扫</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④ 结构化抽取</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Schema 驱动两阶段抽取</w:t>
            </w:r>
          </w:p>
        </w:tc>
        <w:tc>
          <w:tcPr>
            <w:tcW w:type="dxa" w:w="453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先判存在性再取值；每值附证据页码/坐标/原文与置信；无证据不生成</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⑤ 清洗归一</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日期/币种/单位/别名归一与去重</w:t>
            </w:r>
          </w:p>
        </w:tc>
        <w:tc>
          <w:tcPr>
            <w:tcW w:type="dxa" w:w="453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确定性规则为主，模型只给建议</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⑥ 校验核验</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机器 lint + 交叉验证 + 四眼</w:t>
            </w:r>
          </w:p>
        </w:tc>
        <w:tc>
          <w:tcPr>
            <w:tcW w:type="dxa" w:w="453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必填/类型/枚举/断链/无证据/过期/红线措辞；核验人≠编制人</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⑦ 发布联动</w:t>
            </w:r>
          </w:p>
        </w:tc>
        <w:tc>
          <w:tcPr>
            <w:tcW w:type="dxa" w:w="326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写业务库 + 触发 Wiki 编译</w:t>
            </w:r>
          </w:p>
        </w:tc>
        <w:tc>
          <w:tcPr>
            <w:tcW w:type="dxa" w:w="453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发布后成为业务与 AI 唯一可信来源；血缘可回溯</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监控回炼</w:t>
            </w:r>
          </w:p>
        </w:tc>
        <w:tc>
          <w:tcPr>
            <w:tcW w:type="dxa" w:w="326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来源变更/过期自动重炼、缺口登记</w:t>
            </w:r>
          </w:p>
        </w:tc>
        <w:tc>
          <w:tcPr>
            <w:tcW w:type="dxa" w:w="453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来源失效联动失效下游记录与知识页</w:t>
            </w:r>
          </w:p>
        </w:tc>
      </w:tr>
    </w:tbl>
    <w:p>
      <w:pPr>
        <w:spacing w:after="40"/>
      </w:pPr>
    </w:p>
    <w:p>
      <w:pPr>
        <w:spacing w:line="360" w:lineRule="auto"/>
        <w:ind w:firstLine="480"/>
      </w:pPr>
      <w:r>
        <w:rPr>
          <w:rFonts w:ascii="Times New Roman" w:hAnsi="Times New Roman" w:eastAsia="宋体"/>
          <w:b w:val="0"/>
          <w:sz w:val="24"/>
        </w:rPr>
        <w:t>P1 完成七工段 MVP 与 A14 工作区、血缘可视化；P2 接入 PDF 上传与文件夹批量、LLM 混合抽取（两阶段、证据逐字锚定、与确定性结果交叉验证，置信一致则加分、上限 0.98），示例包扩至 10 份并全部发布（CAN-0001..0010，平均字段置信度 0.87）；P3 完成扫描件浏览器视觉解析（pdfjs 渲染 + Qwen-VL 逐字转录）与文件夹/邮箱自动采集（IMAP 只读不改标记，无配置即禁用）。</w:t>
      </w:r>
    </w:p>
    <w:p>
      <w:pPr>
        <w:pStyle w:val="Heading2"/>
      </w:pPr>
      <w:bookmarkStart w:id="48" w:name="_LarkToc00048"/>
      <w:r>
        <w:rPr>
          <w:rFonts w:ascii="Times New Roman" w:hAnsi="Times New Roman" w:eastAsia="黑体"/>
          <w:b/>
          <w:color w:val="1B2433"/>
          <w:sz w:val="28"/>
        </w:rPr>
        <w:t>7.9 扫描件视觉解析（Mac 端）实测关键结论</w:t>
      </w:r>
      <w:bookmarkEnd w:id="48"/>
    </w:p>
    <w:p>
      <w:pPr>
        <w:spacing w:line="360" w:lineRule="auto"/>
        <w:ind w:firstLine="480"/>
      </w:pPr>
      <w:r>
        <w:rPr>
          <w:rFonts w:ascii="Times New Roman" w:hAnsi="Times New Roman" w:eastAsia="宋体"/>
          <w:b w:val="0"/>
          <w:sz w:val="24"/>
        </w:rPr>
        <w:t>P3 与 Mac 视觉加固中，团队对 Qwen-VL 转录做了完整实测，沉淀出可复用的经验（已写入部署指南与自建 skill）：</w:t>
      </w:r>
    </w:p>
    <w:p>
      <w:pPr>
        <w:pStyle w:val="ListBullet"/>
        <w:spacing w:line="336" w:lineRule="auto" w:after="40"/>
      </w:pPr>
      <w:r>
        <w:rPr>
          <w:rFonts w:ascii="Times New Roman" w:hAnsi="Times New Roman" w:eastAsia="宋体"/>
          <w:b w:val="0"/>
          <w:sz w:val="24"/>
        </w:rPr>
        <w:t>canvas 必须用 PNG 无损；JPEG 压缩伪影会让 3B 模型把整页合并成一块或只输出标题；</w:t>
      </w:r>
    </w:p>
    <w:p>
      <w:pPr>
        <w:pStyle w:val="ListBullet"/>
        <w:spacing w:line="336" w:lineRule="auto" w:after="40"/>
      </w:pPr>
      <w:r>
        <w:rPr>
          <w:rFonts w:ascii="Times New Roman" w:hAnsi="Times New Roman" w:eastAsia="宋体"/>
          <w:b w:val="0"/>
          <w:sz w:val="24"/>
        </w:rPr>
        <w:t>prompt 必须极简：“逐字转录，只输出 JSON：{blocks:[{type,text}]}”，加长规则反而只输出标题；</w:t>
      </w:r>
    </w:p>
    <w:p>
      <w:pPr>
        <w:pStyle w:val="ListBullet"/>
        <w:spacing w:line="336" w:lineRule="auto" w:after="40"/>
      </w:pPr>
      <w:r>
        <w:rPr>
          <w:rFonts w:ascii="Times New Roman" w:hAnsi="Times New Roman" w:eastAsia="宋体"/>
          <w:b w:val="0"/>
          <w:sz w:val="24"/>
        </w:rPr>
        <w:t>转录后必须弹“逐页校对”窗口，每块可改类型/文字/删除，人工确认才回传入库；</w:t>
      </w:r>
    </w:p>
    <w:p>
      <w:pPr>
        <w:pStyle w:val="ListBullet"/>
        <w:spacing w:line="336" w:lineRule="auto" w:after="40"/>
      </w:pPr>
      <w:r>
        <w:rPr>
          <w:rFonts w:ascii="Times New Roman" w:hAnsi="Times New Roman" w:eastAsia="宋体"/>
          <w:b w:val="0"/>
          <w:sz w:val="24"/>
        </w:rPr>
        <w:t>最多处理前 12 页（scale 2.0），超出拆分；图像不上云；</w:t>
      </w:r>
    </w:p>
    <w:p>
      <w:pPr>
        <w:pStyle w:val="ListBullet"/>
        <w:spacing w:line="336" w:lineRule="auto" w:after="40"/>
      </w:pPr>
      <w:r>
        <w:rPr>
          <w:rFonts w:ascii="Times New Roman" w:hAnsi="Times New Roman" w:eastAsia="宋体"/>
          <w:b w:val="0"/>
          <w:sz w:val="24"/>
        </w:rPr>
        <w:t>Ollama 0.35 的 prompt cache 可能对同图重复调用返回陈旧答案，验证需重启 serve 冷跑；</w:t>
      </w:r>
    </w:p>
    <w:p>
      <w:pPr>
        <w:pStyle w:val="ListBullet"/>
        <w:spacing w:line="336" w:lineRule="auto" w:after="40"/>
      </w:pPr>
      <w:r>
        <w:rPr>
          <w:rFonts w:ascii="Times New Roman" w:hAnsi="Times New Roman" w:eastAsia="宋体"/>
          <w:b w:val="0"/>
          <w:sz w:val="24"/>
        </w:rPr>
        <w:t>CPU 上 3B 单页约 155–198 秒，Mac Apple Silicon 跑 7B 会明显更快。</w:t>
      </w:r>
    </w:p>
    <w:p>
      <w:pPr>
        <w:pStyle w:val="Heading2"/>
      </w:pPr>
      <w:bookmarkStart w:id="49" w:name="_LarkToc00049"/>
      <w:r>
        <w:rPr>
          <w:rFonts w:ascii="Times New Roman" w:hAnsi="Times New Roman" w:eastAsia="黑体"/>
          <w:b/>
          <w:color w:val="1B2433"/>
          <w:sz w:val="28"/>
        </w:rPr>
        <w:t>7.10 四大引擎与行业模板</w:t>
      </w:r>
      <w:bookmarkEnd w:id="49"/>
    </w:p>
    <w:p>
      <w:pPr>
        <w:spacing w:line="360" w:lineRule="auto"/>
        <w:ind w:firstLine="480"/>
      </w:pPr>
      <w:r>
        <w:rPr>
          <w:rFonts w:ascii="Times New Roman" w:hAnsi="Times New Roman" w:eastAsia="宋体"/>
          <w:b w:val="0"/>
          <w:sz w:val="24"/>
        </w:rPr>
        <w:t>V4 平台由四大引擎构成：AI 数据工厂、本地 AI 中枢、行业模板（Industry Pack）、运营终端。行业无关的平台内核（platform-core）包含身份、AI 网关、数据工厂、知识、CRM、方案/订单/合同/支付、项目/任务/文档、工单/结算/合规/审计；一个行业包 = 数据 Schema + 状态机/流程 + 词库与红线 + 模板 + AI 技能与提示词 + 角色权限 + 参考数据。终端是配置驱动的通用壳，由“内核 + 当前行业包”渲染。移民包（Immigration Pack）是包 1 与标杆；建议复制顺序为移民→律师→金融→制造。</w:t>
      </w:r>
    </w:p>
    <w:p>
      <w:pPr>
        <w:pStyle w:val="Heading1"/>
      </w:pPr>
      <w:bookmarkStart w:id="50" w:name="_LarkToc00050"/>
      <w:r>
        <w:rPr>
          <w:rFonts w:ascii="Times New Roman" w:hAnsi="Times New Roman" w:eastAsia="黑体"/>
          <w:b/>
          <w:color w:val="1B2433"/>
          <w:sz w:val="32"/>
        </w:rPr>
        <w:t>第 8 章 工程实现与部署</w:t>
      </w:r>
      <w:bookmarkEnd w:id="50"/>
    </w:p>
    <w:p>
      <w:pPr>
        <w:pStyle w:val="Heading2"/>
      </w:pPr>
      <w:bookmarkStart w:id="51" w:name="_LarkToc00051"/>
      <w:r>
        <w:rPr>
          <w:rFonts w:ascii="Times New Roman" w:hAnsi="Times New Roman" w:eastAsia="黑体"/>
          <w:b/>
          <w:color w:val="1B2433"/>
          <w:sz w:val="28"/>
        </w:rPr>
        <w:t>8.1 技术栈与 monorepo</w:t>
      </w:r>
      <w:bookmarkEnd w:id="51"/>
    </w:p>
    <w:p>
      <w:pPr>
        <w:spacing w:line="360" w:lineRule="auto"/>
        <w:ind w:firstLine="480"/>
      </w:pPr>
      <w:r>
        <w:rPr>
          <w:rFonts w:ascii="Times New Roman" w:hAnsi="Times New Roman" w:eastAsia="宋体"/>
          <w:b w:val="0"/>
          <w:sz w:val="24"/>
        </w:rPr>
        <w:t>技术选型在 2026 年 9 月 22 日冻结，前后端统一 TypeScript，pnpm + Turbo 管理 monorepo：</w:t>
      </w:r>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145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层</w:t>
            </w:r>
          </w:p>
        </w:tc>
        <w:tc>
          <w:tcPr>
            <w:tcW w:type="dxa" w:w="762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技术</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前端移动</w:t>
            </w:r>
          </w:p>
        </w:tc>
        <w:tc>
          <w:tcPr>
            <w:tcW w:type="dxa" w:w="762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Expo ~52 / React Native 0.76 / Reanimated 3.16 / react-native-web（一套代码同时出 iOS、Android 与 Web）</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前端桌面</w:t>
            </w:r>
          </w:p>
        </w:tc>
        <w:tc>
          <w:tcPr>
            <w:tcW w:type="dxa" w:w="762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Vite 6 + React 18 + Tailwind（总后台 admin-web、门户 portal-web）</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后端</w:t>
            </w:r>
          </w:p>
        </w:tc>
        <w:tc>
          <w:tcPr>
            <w:tcW w:type="dxa" w:w="762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NestJS 10 + Prisma 6，REST + SSE；realm 守卫（customer/staff/partner）+ 审计 + 特性开关</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领域内核</w:t>
            </w:r>
          </w:p>
        </w:tc>
        <w:tc>
          <w:tcPr>
            <w:tcW w:type="dxa" w:w="762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@tip/core：20+ 状态机、金额铁律、违禁词库 WordEngine、初评引擎、审计哈希链</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UI 内核</w:t>
            </w:r>
          </w:p>
        </w:tc>
        <w:tc>
          <w:tcPr>
            <w:tcW w:type="dxa" w:w="762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@tip/ui-native：Token、动效、Tab 栏、中央凸起 AI 球</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数据库</w:t>
            </w:r>
          </w:p>
        </w:tc>
        <w:tc>
          <w:tcPr>
            <w:tcW w:type="dxa" w:w="762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PostgreSQL（Neon 云 / 本地嵌入式），支持 pgvector；JSON 状态快照</w:t>
            </w:r>
          </w:p>
        </w:tc>
      </w:tr>
      <w:tr>
        <w:trPr>
          <w:cantSplit/>
        </w:trPr>
        <w:tc>
          <w:tcPr>
            <w:tcW w:type="dxa" w:w="145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AI</w:t>
            </w:r>
          </w:p>
        </w:tc>
        <w:tc>
          <w:tcPr>
            <w:tcW w:type="dxa" w:w="762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Ollama（本地 Qwen 系列 + VL）、pdfjs-dist、确定性 grounded 引擎</w:t>
            </w:r>
          </w:p>
        </w:tc>
      </w:tr>
      <w:tr>
        <w:trPr>
          <w:cantSplit/>
        </w:trPr>
        <w:tc>
          <w:tcPr>
            <w:tcW w:type="dxa" w:w="145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工程</w:t>
            </w:r>
          </w:p>
        </w:tc>
        <w:tc>
          <w:tcPr>
            <w:tcW w:type="dxa" w:w="762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Node 22 / pnpm 9 / Turbo 2 / TS 5.9；node --test 内置测试</w:t>
            </w:r>
          </w:p>
        </w:tc>
      </w:tr>
    </w:tbl>
    <w:p>
      <w:pPr>
        <w:spacing w:after="40"/>
      </w:pPr>
    </w:p>
    <w:p>
      <w:pPr>
        <w:spacing w:line="360" w:lineRule="auto"/>
        <w:ind w:firstLine="480"/>
      </w:pPr>
      <w:r>
        <w:rPr>
          <w:rFonts w:ascii="Times New Roman" w:hAnsi="Times New Roman" w:eastAsia="宋体"/>
          <w:b w:val="0"/>
          <w:sz w:val="24"/>
        </w:rPr>
        <w:t>monorepo 结构：packages/core（领域内核）、packages/ui-native（移动 UI 内核）、services/api（NestJS 服务，含业务域、ai、wiki、aihub、refinery、persistence 等模块）、apps（client-app、advisor-app、admin-web、portal-web）。</w:t>
      </w:r>
    </w:p>
    <w:p>
      <w:pPr>
        <w:pStyle w:val="Heading2"/>
      </w:pPr>
      <w:bookmarkStart w:id="52" w:name="_LarkToc00052"/>
      <w:r>
        <w:rPr>
          <w:rFonts w:ascii="Times New Roman" w:hAnsi="Times New Roman" w:eastAsia="黑体"/>
          <w:b/>
          <w:color w:val="1B2433"/>
          <w:sz w:val="28"/>
        </w:rPr>
        <w:t>8.2 M0 工程骨架与内核机制</w:t>
      </w:r>
      <w:bookmarkEnd w:id="52"/>
    </w:p>
    <w:p>
      <w:pPr>
        <w:pStyle w:val="ListBullet"/>
        <w:spacing w:line="336" w:lineRule="auto" w:after="40"/>
      </w:pPr>
      <w:r>
        <w:rPr>
          <w:rFonts w:ascii="Times New Roman" w:hAnsi="Times New Roman" w:eastAsia="宋体"/>
          <w:b w:val="0"/>
          <w:sz w:val="24"/>
        </w:rPr>
        <w:t>审计哈希链（audit-chain）：每条审计事件包含前序哈希，可链式校验防篡改，GENESIS_HASH 为起点；</w:t>
      </w:r>
    </w:p>
    <w:p>
      <w:pPr>
        <w:pStyle w:val="ListBullet"/>
        <w:spacing w:line="336" w:lineRule="auto" w:after="40"/>
      </w:pPr>
      <w:r>
        <w:rPr>
          <w:rFonts w:ascii="Times New Roman" w:hAnsi="Times New Roman" w:eastAsia="宋体"/>
          <w:b w:val="0"/>
          <w:sz w:val="24"/>
        </w:rPr>
        <w:t>状态机统一 transition：非法迁移即抛错并审计，20+ 台机器集中管理；</w:t>
      </w:r>
    </w:p>
    <w:p>
      <w:pPr>
        <w:pStyle w:val="ListBullet"/>
        <w:spacing w:line="336" w:lineRule="auto" w:after="40"/>
      </w:pPr>
      <w:r>
        <w:rPr>
          <w:rFonts w:ascii="Times New Roman" w:hAnsi="Times New Roman" w:eastAsia="宋体"/>
          <w:b w:val="0"/>
          <w:sz w:val="24"/>
        </w:rPr>
        <w:t>金额铁律：币种分列、异币种不合计、amountMinor 用 bigint 存储、BigInt 全局序列化；</w:t>
      </w:r>
    </w:p>
    <w:p>
      <w:pPr>
        <w:pStyle w:val="ListBullet"/>
        <w:spacing w:line="336" w:lineRule="auto" w:after="40"/>
      </w:pPr>
      <w:r>
        <w:rPr>
          <w:rFonts w:ascii="Times New Roman" w:hAnsi="Times New Roman" w:eastAsia="宋体"/>
          <w:b w:val="0"/>
          <w:sz w:val="24"/>
        </w:rPr>
        <w:t>违禁词库 WordEngine：版本化、按第四生产点拦截“保证/100% 成功”等承诺性措辞；</w:t>
      </w:r>
    </w:p>
    <w:p>
      <w:pPr>
        <w:pStyle w:val="ListBullet"/>
        <w:spacing w:line="336" w:lineRule="auto" w:after="40"/>
      </w:pPr>
      <w:r>
        <w:rPr>
          <w:rFonts w:ascii="Times New Roman" w:hAnsi="Times New Roman" w:eastAsia="宋体"/>
          <w:b w:val="0"/>
          <w:sz w:val="24"/>
        </w:rPr>
        <w:t>六个特性开关（交易、门户跨境、结算、全球通行、电子签、营销）默认 off，门开才启用；</w:t>
      </w:r>
    </w:p>
    <w:p>
      <w:pPr>
        <w:pStyle w:val="ListBullet"/>
        <w:spacing w:line="336" w:lineRule="auto" w:after="40"/>
      </w:pPr>
      <w:r>
        <w:rPr>
          <w:rFonts w:ascii="Times New Roman" w:hAnsi="Times New Roman" w:eastAsia="宋体"/>
          <w:b w:val="0"/>
          <w:sz w:val="24"/>
        </w:rPr>
        <w:t>三 realm 守卫与客户白名单（@RealmAllowed），游客只读公开目录。</w:t>
      </w:r>
    </w:p>
    <w:p>
      <w:pPr>
        <w:pStyle w:val="Heading2"/>
      </w:pPr>
      <w:bookmarkStart w:id="53" w:name="_LarkToc00053"/>
      <w:r>
        <w:rPr>
          <w:rFonts w:ascii="Times New Roman" w:hAnsi="Times New Roman" w:eastAsia="黑体"/>
          <w:b/>
          <w:color w:val="1B2433"/>
          <w:sz w:val="28"/>
        </w:rPr>
        <w:t>8.3 M1–M5 实现与版本走查</w:t>
      </w:r>
      <w:bookmarkEnd w:id="53"/>
    </w:p>
    <w:p>
      <w:pPr>
        <w:spacing w:line="360" w:lineRule="auto"/>
        <w:ind w:firstLine="480"/>
      </w:pPr>
      <w:r>
        <w:rPr>
          <w:rFonts w:ascii="Times New Roman" w:hAnsi="Times New Roman" w:eastAsia="宋体"/>
          <w:b w:val="0"/>
          <w:sz w:val="24"/>
        </w:rPr>
        <w:t>M1–M5 全部按冻结 PRD 实现，随后按负责人“补齐欠债、全端统一”的要求做了一系列版本化走查与修复：</w:t>
      </w:r>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1089"/>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版本</w:t>
            </w:r>
          </w:p>
        </w:tc>
        <w:tc>
          <w:tcPr>
            <w:tcW w:type="dxa" w:w="7982"/>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内容</w:t>
            </w:r>
          </w:p>
        </w:tc>
      </w:tr>
      <w:tr>
        <w:trPr>
          <w:cantSplit/>
        </w:trPr>
        <w:tc>
          <w:tcPr>
            <w:tcW w:type="dxa" w:w="1089"/>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v1.8</w:t>
            </w:r>
          </w:p>
        </w:tc>
        <w:tc>
          <w:tcPr>
            <w:tcW w:type="dxa" w:w="7982"/>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客户端“我的”真实个人中心（身份卡、我的顾问、家庭授权、通知渠道不可全关、AI 授权、注销两步闭环）</w:t>
            </w:r>
          </w:p>
        </w:tc>
      </w:tr>
      <w:tr>
        <w:trPr>
          <w:cantSplit/>
        </w:trPr>
        <w:tc>
          <w:tcPr>
            <w:tcW w:type="dxa" w:w="1089"/>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v1.9</w:t>
            </w:r>
          </w:p>
        </w:tc>
        <w:tc>
          <w:tcPr>
            <w:tcW w:type="dxa" w:w="7982"/>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初评闭环（发布问卷/结论模板/规则集，覆盖三种结果场景）</w:t>
            </w:r>
          </w:p>
        </w:tc>
      </w:tr>
      <w:tr>
        <w:trPr>
          <w:cantSplit/>
        </w:trPr>
        <w:tc>
          <w:tcPr>
            <w:tcW w:type="dxa" w:w="1089"/>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v2.0</w:t>
            </w:r>
          </w:p>
        </w:tc>
        <w:tc>
          <w:tcPr>
            <w:tcW w:type="dxa" w:w="7982"/>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材料上传（Web 端 SHA-256 哈希、状态动作），修复时间线 Invalid Date</w:t>
            </w:r>
          </w:p>
        </w:tc>
      </w:tr>
      <w:tr>
        <w:trPr>
          <w:cantSplit/>
        </w:trPr>
        <w:tc>
          <w:tcPr>
            <w:tcW w:type="dxa" w:w="1089"/>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v2.1</w:t>
            </w:r>
          </w:p>
        </w:tc>
        <w:tc>
          <w:tcPr>
            <w:tcW w:type="dxa" w:w="7982"/>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工单全生命周期端到端走查（咨询/提问/数据变更/投诉四类，投诉自动合规线索与停新）</w:t>
            </w:r>
          </w:p>
        </w:tc>
      </w:tr>
      <w:tr>
        <w:trPr>
          <w:cantSplit/>
        </w:trPr>
        <w:tc>
          <w:tcPr>
            <w:tcW w:type="dxa" w:w="1089"/>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v2.2</w:t>
            </w:r>
          </w:p>
        </w:tc>
        <w:tc>
          <w:tcPr>
            <w:tcW w:type="dxa" w:w="7982"/>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服务方门户实时化（独立 portal-web，修复伙伴身份解析）</w:t>
            </w:r>
          </w:p>
        </w:tc>
      </w:tr>
      <w:tr>
        <w:trPr>
          <w:cantSplit/>
        </w:trPr>
        <w:tc>
          <w:tcPr>
            <w:tcW w:type="dxa" w:w="1089"/>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v2.3</w:t>
            </w:r>
          </w:p>
        </w:tc>
        <w:tc>
          <w:tcPr>
            <w:tcW w:type="dxa" w:w="7982"/>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PWA 免费可安装</w:t>
            </w:r>
          </w:p>
        </w:tc>
      </w:tr>
      <w:tr>
        <w:trPr>
          <w:cantSplit/>
        </w:trPr>
        <w:tc>
          <w:tcPr>
            <w:tcW w:type="dxa" w:w="1089"/>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v2.4</w:t>
            </w:r>
          </w:p>
        </w:tc>
        <w:tc>
          <w:tcPr>
            <w:tcW w:type="dxa" w:w="7982"/>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PostgreSQL 通用状态持久化（35 个有状态服务注册、深快照、10 秒落盘、启动恢复）</w:t>
            </w:r>
          </w:p>
        </w:tc>
      </w:tr>
      <w:tr>
        <w:trPr>
          <w:cantSplit/>
        </w:trPr>
        <w:tc>
          <w:tcPr>
            <w:tcW w:type="dxa" w:w="1089"/>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v2.5</w:t>
            </w:r>
          </w:p>
        </w:tc>
        <w:tc>
          <w:tcPr>
            <w:tcW w:type="dxa" w:w="7982"/>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云端 Neon PostgreSQL 接通 Render（重启数据存活、种子幂等）</w:t>
            </w:r>
          </w:p>
        </w:tc>
      </w:tr>
    </w:tbl>
    <w:p>
      <w:pPr>
        <w:spacing w:after="40"/>
      </w:pPr>
    </w:p>
    <w:p>
      <w:pPr>
        <w:pStyle w:val="Heading2"/>
      </w:pPr>
      <w:bookmarkStart w:id="54" w:name="_LarkToc00054"/>
      <w:r>
        <w:rPr>
          <w:rFonts w:ascii="Times New Roman" w:hAnsi="Times New Roman" w:eastAsia="黑体"/>
          <w:b/>
          <w:color w:val="1B2433"/>
          <w:sz w:val="28"/>
        </w:rPr>
        <w:t>8.4 公网部署：零付费的“域名 + 免费托管 + 镜像”架构</w:t>
      </w:r>
      <w:bookmarkEnd w:id="54"/>
    </w:p>
    <w:p>
      <w:pPr>
        <w:spacing w:line="360" w:lineRule="auto"/>
        <w:ind w:firstLine="480"/>
      </w:pPr>
      <w:r>
        <w:rPr>
          <w:rFonts w:ascii="Times New Roman" w:hAnsi="Times New Roman" w:eastAsia="宋体"/>
          <w:b w:val="0"/>
          <w:sz w:val="24"/>
        </w:rPr>
        <w:t>负责人习惯“阿里云域名 + Cloudflare 部署 + Gitee 代码管理”的免费组合。内网穿透（cloudflared、localtunnel、Serveo、Pinggy 等）经实测均被环境安全策略阻断，最终采用如下架构：</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27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环节</w:t>
            </w:r>
          </w:p>
        </w:tc>
        <w:tc>
          <w:tcPr>
            <w:tcW w:type="dxa" w:w="3084"/>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方案</w:t>
            </w:r>
          </w:p>
        </w:tc>
        <w:tc>
          <w:tcPr>
            <w:tcW w:type="dxa" w:w="471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要点</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域名</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阿里云已购 hbwhere.com</w:t>
            </w:r>
          </w:p>
        </w:tc>
        <w:tc>
          <w:tcPr>
            <w:tcW w:type="dxa" w:w="471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仅新增一条 CNAME：demo → hbwhere-demo.pages.dev；原 www 站点记录全程不动</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静态托管</w:t>
            </w:r>
          </w:p>
        </w:tc>
        <w:tc>
          <w:tcPr>
            <w:tcW w:type="dxa" w:w="308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Cloudflare Pages（项目 hbwhere-demo）</w:t>
            </w:r>
          </w:p>
        </w:tc>
        <w:tc>
          <w:tcPr>
            <w:tcW w:type="dxa" w:w="471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托管高保真与 Web 实时导出，免费；一键脚本 deploy-pages.sh</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后端 API</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Render 免费 Docker（新加坡区）</w:t>
            </w:r>
          </w:p>
        </w:tc>
        <w:tc>
          <w:tcPr>
            <w:tcW w:type="dxa" w:w="471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Dockerfile 启动并自动播种；冷启动约 30–50 秒、15 分钟休眠</w:t>
            </w:r>
          </w:p>
        </w:tc>
      </w:tr>
      <w:tr>
        <w:trPr>
          <w:cantSplit/>
        </w:trPr>
        <w:tc>
          <w:tcPr>
            <w:tcW w:type="dxa" w:w="127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代码管理</w:t>
            </w:r>
          </w:p>
        </w:tc>
        <w:tc>
          <w:tcPr>
            <w:tcW w:type="dxa" w:w="308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Gitee 私有主仓 + GitHub 私有镜像</w:t>
            </w:r>
          </w:p>
        </w:tc>
        <w:tc>
          <w:tcPr>
            <w:tcW w:type="dxa" w:w="471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Render 只支持 GitHub/GitLab/Bitbucket，故用 GitHub 镜像；GitHub 为私有仓库，代码不公开</w:t>
            </w:r>
          </w:p>
        </w:tc>
      </w:tr>
      <w:tr>
        <w:trPr>
          <w:cantSplit/>
        </w:trPr>
        <w:tc>
          <w:tcPr>
            <w:tcW w:type="dxa" w:w="127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数据库</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Neon 免费 PostgreSQL</w:t>
            </w:r>
          </w:p>
        </w:tc>
        <w:tc>
          <w:tcPr>
            <w:tcW w:type="dxa" w:w="471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迁移用直连地址，运行时用 pooler；由负责人本人完成注册（人机验证无法代过）</w:t>
            </w:r>
          </w:p>
        </w:tc>
      </w:tr>
    </w:tbl>
    <w:p>
      <w:pPr>
        <w:spacing w:after="40"/>
      </w:pPr>
    </w:p>
    <w:p>
      <w:pPr>
        <w:spacing w:line="360" w:lineRule="auto"/>
        <w:ind w:firstLine="480"/>
      </w:pPr>
      <w:r>
        <w:rPr>
          <w:rFonts w:ascii="Times New Roman" w:hAnsi="Times New Roman" w:eastAsia="宋体"/>
          <w:b w:val="0"/>
          <w:sz w:val="24"/>
        </w:rPr>
        <w:t>部署中踩过的关键坑均已固化：Render 仅接受 GitHub（Gitee 被拒）；fine-grained PAT 不能建仓（需手动建私有仓）；EXPO_PUBLIC_API_BASE 需在导出时静态注入；Dockerfile 需补 tsconfig.base.json 与 prisma generate；DATABASE_URL 用构建期 ARG；容器内安装 python3；GitHub push 偶尔不触发自动部署时用 Render API 手动触发。</w:t>
      </w:r>
    </w:p>
    <w:p>
      <w:pPr>
        <w:pStyle w:val="Heading2"/>
      </w:pPr>
      <w:bookmarkStart w:id="55" w:name="_LarkToc00055"/>
      <w:r>
        <w:rPr>
          <w:rFonts w:ascii="Times New Roman" w:hAnsi="Times New Roman" w:eastAsia="黑体"/>
          <w:b/>
          <w:color w:val="1B2433"/>
          <w:sz w:val="28"/>
        </w:rPr>
        <w:t>8.5 演示数据与测试</w:t>
      </w:r>
      <w:bookmarkEnd w:id="55"/>
    </w:p>
    <w:p>
      <w:pPr>
        <w:spacing w:line="360" w:lineRule="auto"/>
        <w:ind w:firstLine="480"/>
      </w:pPr>
      <w:r>
        <w:rPr>
          <w:rFonts w:ascii="Times New Roman" w:hAnsi="Times New Roman" w:eastAsia="宋体"/>
          <w:b w:val="0"/>
          <w:sz w:val="24"/>
        </w:rPr>
        <w:t>演示种子（dev-seed）幂等、可重复执行，全部为虚构并标注“示例”，生产环境零示例：1 家示例出入境咨询公司（备案号示例）、费表（CNY 平台费 confirmed + USD 境外持牌费 estimated + 官方费 tbc）、项目、问卷/规则集、顾问、多名客户关系、方案/订单/付款/案件/服务方/门户账号/工单/结算/退款/邀请/知识，以及经数据工厂发布的 10 份示例资料（覆盖科技居留、数字游民、投资入籍三类项目的条例、费表、介绍、协议与 FAQ）。</w:t>
      </w:r>
    </w:p>
    <w:p>
      <w:pPr>
        <w:spacing w:line="360" w:lineRule="auto"/>
        <w:ind w:firstLine="480"/>
      </w:pPr>
      <w:r>
        <w:rPr>
          <w:rFonts w:ascii="Times New Roman" w:hAnsi="Times New Roman" w:eastAsia="宋体"/>
          <w:b w:val="0"/>
          <w:sz w:val="24"/>
        </w:rPr>
        <w:t>测试基线 160 项：领域内核 64 项、API 服务与各模块合计 90+ 项（含数据工厂采集器 5 项），当前 158 通过、2 项Postgres 集成跳过、0 失败。Web 端用 Playwright 按真实坐标走查，实时系统全部 Tab 走查零控制台错误。</w:t>
      </w:r>
    </w:p>
    <w:p>
      <w:pPr>
        <w:pStyle w:val="Heading2"/>
      </w:pPr>
      <w:bookmarkStart w:id="56" w:name="_LarkToc00056"/>
      <w:r>
        <w:rPr>
          <w:rFonts w:ascii="Times New Roman" w:hAnsi="Times New Roman" w:eastAsia="黑体"/>
          <w:b/>
          <w:color w:val="1B2433"/>
          <w:sz w:val="28"/>
        </w:rPr>
        <w:t>8.6 部署与运维文档沉淀</w:t>
      </w:r>
      <w:bookmarkEnd w:id="56"/>
    </w:p>
    <w:p>
      <w:pPr>
        <w:spacing w:line="360" w:lineRule="auto"/>
        <w:ind w:firstLine="480"/>
      </w:pPr>
      <w:r>
        <w:rPr>
          <w:rFonts w:ascii="Times New Roman" w:hAnsi="Times New Roman" w:eastAsia="宋体"/>
          <w:b w:val="0"/>
          <w:sz w:val="24"/>
        </w:rPr>
        <w:t>工程阶段沉淀了《技术方案 V4 本地 AI 数据工厂》《本地 AI 部署指南》（含 Ollama 用户态安装、模型矩阵、视觉解析、采集器、Mac 配置等章节）、《iPhone 真机 App 部署方案》《TestFlight 安装操作清单》（暂缓留档）、PWA 安装页等，并把可复用的本地 AI 数据工厂操作方法沉淀为用户自建 skill（local-ai-data-factory），用于未来教学与跨行业复用。</w:t>
      </w:r>
    </w:p>
    <w:p>
      <w:pPr>
        <w:pStyle w:val="Heading1"/>
      </w:pPr>
      <w:bookmarkStart w:id="57" w:name="_LarkToc00057"/>
      <w:r>
        <w:rPr>
          <w:rFonts w:ascii="Times New Roman" w:hAnsi="Times New Roman" w:eastAsia="黑体"/>
          <w:b/>
          <w:color w:val="1B2433"/>
          <w:sz w:val="32"/>
        </w:rPr>
        <w:t>第 9 章 过程方法论与关键经验</w:t>
      </w:r>
      <w:bookmarkEnd w:id="57"/>
    </w:p>
    <w:p>
      <w:pPr>
        <w:pStyle w:val="Heading2"/>
      </w:pPr>
      <w:bookmarkStart w:id="58" w:name="_LarkToc00058"/>
      <w:r>
        <w:rPr>
          <w:rFonts w:ascii="Times New Roman" w:hAnsi="Times New Roman" w:eastAsia="黑体"/>
          <w:b/>
          <w:color w:val="1B2433"/>
          <w:sz w:val="28"/>
        </w:rPr>
        <w:t>9.1 严格的阶段闸门</w:t>
      </w:r>
      <w:bookmarkEnd w:id="58"/>
    </w:p>
    <w:p>
      <w:pPr>
        <w:spacing w:line="360" w:lineRule="auto"/>
        <w:ind w:firstLine="480"/>
      </w:pPr>
      <w:r>
        <w:rPr>
          <w:rFonts w:ascii="Times New Roman" w:hAnsi="Times New Roman" w:eastAsia="宋体"/>
          <w:b w:val="0"/>
          <w:sz w:val="24"/>
        </w:rPr>
        <w:t>项目能在三周内高密度推进而少返工，核心是坚持“先想清、再画准、最后写代码”的闸门纪律：</w:t>
      </w:r>
    </w:p>
    <w:p>
      <w:pPr>
        <w:pStyle w:val="ListNumber"/>
        <w:spacing w:line="336" w:lineRule="auto" w:after="40"/>
      </w:pPr>
      <w:r>
        <w:rPr>
          <w:rFonts w:ascii="Times New Roman" w:hAnsi="Times New Roman" w:eastAsia="宋体"/>
          <w:b w:val="0"/>
          <w:sz w:val="24"/>
        </w:rPr>
        <w:t>方案门：产品逻辑文档（V1/V2/V4）先行，定位、范围、原则、不做清单明确后才往下；</w:t>
      </w:r>
    </w:p>
    <w:p>
      <w:pPr>
        <w:pStyle w:val="ListNumber"/>
        <w:spacing w:line="336" w:lineRule="auto" w:after="40"/>
      </w:pPr>
      <w:r>
        <w:rPr>
          <w:rFonts w:ascii="Times New Roman" w:hAnsi="Times New Roman" w:eastAsia="宋体"/>
          <w:b w:val="0"/>
          <w:sz w:val="24"/>
        </w:rPr>
        <w:t>功能门：功能卡、核心对象、状态机、研发级 PRD 冻结（prd-frozen-v1.0），任何变更走变更控制，不口头改需求；</w:t>
      </w:r>
    </w:p>
    <w:p>
      <w:pPr>
        <w:pStyle w:val="ListNumber"/>
        <w:spacing w:line="336" w:lineRule="auto" w:after="40"/>
      </w:pPr>
      <w:r>
        <w:rPr>
          <w:rFonts w:ascii="Times New Roman" w:hAnsi="Times New Roman" w:eastAsia="宋体"/>
          <w:b w:val="0"/>
          <w:sz w:val="24"/>
        </w:rPr>
        <w:t>原型门：低保真 → 可点击样机（Pass 闸门）验证业务，再做品牌与组件库；</w:t>
      </w:r>
    </w:p>
    <w:p>
      <w:pPr>
        <w:pStyle w:val="ListNumber"/>
        <w:spacing w:line="336" w:lineRule="auto" w:after="40"/>
      </w:pPr>
      <w:r>
        <w:rPr>
          <w:rFonts w:ascii="Times New Roman" w:hAnsi="Times New Roman" w:eastAsia="宋体"/>
          <w:b w:val="0"/>
          <w:sz w:val="24"/>
        </w:rPr>
        <w:t>视觉门：高保真逐屏自审批注、整体精修、六维验收后冻结（hifi-v1.3/v1.4）；</w:t>
      </w:r>
    </w:p>
    <w:p>
      <w:pPr>
        <w:pStyle w:val="ListNumber"/>
        <w:spacing w:line="336" w:lineRule="auto" w:after="40"/>
      </w:pPr>
      <w:r>
        <w:rPr>
          <w:rFonts w:ascii="Times New Roman" w:hAnsi="Times New Roman" w:eastAsia="宋体"/>
          <w:b w:val="0"/>
          <w:sz w:val="24"/>
        </w:rPr>
        <w:t>AI 门：产品设计 → 技术路线 → 原型 → UI，AI 也不允许直接写代码；</w:t>
      </w:r>
    </w:p>
    <w:p>
      <w:pPr>
        <w:pStyle w:val="ListNumber"/>
        <w:spacing w:line="336" w:lineRule="auto" w:after="40"/>
      </w:pPr>
      <w:r>
        <w:rPr>
          <w:rFonts w:ascii="Times New Roman" w:hAnsi="Times New Roman" w:eastAsia="宋体"/>
          <w:b w:val="0"/>
          <w:sz w:val="24"/>
        </w:rPr>
        <w:t>发布门：每阶段冻结、打 tag、写冻结说明、推双仓库、公网可看。</w:t>
      </w:r>
    </w:p>
    <w:p>
      <w:pPr>
        <w:pStyle w:val="Heading2"/>
      </w:pPr>
      <w:bookmarkStart w:id="59" w:name="_LarkToc00059"/>
      <w:r>
        <w:rPr>
          <w:rFonts w:ascii="Times New Roman" w:hAnsi="Times New Roman" w:eastAsia="黑体"/>
          <w:b/>
          <w:color w:val="1B2433"/>
          <w:sz w:val="28"/>
        </w:rPr>
        <w:t>9.2 冻结与增量机制</w:t>
      </w:r>
      <w:bookmarkEnd w:id="59"/>
    </w:p>
    <w:p>
      <w:pPr>
        <w:spacing w:line="360" w:lineRule="auto"/>
        <w:ind w:firstLine="480"/>
      </w:pPr>
      <w:r>
        <w:rPr>
          <w:rFonts w:ascii="Times New Roman" w:hAnsi="Times New Roman" w:eastAsia="宋体"/>
          <w:b w:val="0"/>
          <w:sz w:val="24"/>
        </w:rPr>
        <w:t>为防止“做着做着走样”，项目形成了一套冻结机制：</w:t>
      </w:r>
    </w:p>
    <w:p>
      <w:pPr>
        <w:pStyle w:val="ListBullet"/>
        <w:spacing w:line="336" w:lineRule="auto" w:after="40"/>
      </w:pPr>
      <w:r>
        <w:rPr>
          <w:rFonts w:ascii="Times New Roman" w:hAnsi="Times New Roman" w:eastAsia="宋体"/>
          <w:b w:val="0"/>
          <w:sz w:val="24"/>
        </w:rPr>
        <w:t>UI 与功能分别以《UI 冻结说明》《功能冻结》文档记录版本、范围与验收结果；</w:t>
      </w:r>
    </w:p>
    <w:p>
      <w:pPr>
        <w:pStyle w:val="ListBullet"/>
        <w:spacing w:line="336" w:lineRule="auto" w:after="40"/>
      </w:pPr>
      <w:r>
        <w:rPr>
          <w:rFonts w:ascii="Times New Roman" w:hAnsi="Times New Roman" w:eastAsia="宋体"/>
          <w:b w:val="0"/>
          <w:sz w:val="24"/>
        </w:rPr>
        <w:t>每个重要节点打 Git tag（如 prd-frozen-v1.0、hifi-v1.4、m0-core-spike-v0.1）；</w:t>
      </w:r>
    </w:p>
    <w:p>
      <w:pPr>
        <w:pStyle w:val="ListBullet"/>
        <w:spacing w:line="336" w:lineRule="auto" w:after="40"/>
      </w:pPr>
      <w:r>
        <w:rPr>
          <w:rFonts w:ascii="Times New Roman" w:hAnsi="Times New Roman" w:eastAsia="宋体"/>
          <w:b w:val="0"/>
          <w:sz w:val="24"/>
        </w:rPr>
        <w:t>升级一律只做增量、不动已冻结结果；视觉精修统一做完再整体展示，不逐屏打断；</w:t>
      </w:r>
    </w:p>
    <w:p>
      <w:pPr>
        <w:pStyle w:val="ListBullet"/>
        <w:spacing w:line="336" w:lineRule="auto" w:after="40"/>
      </w:pPr>
      <w:r>
        <w:rPr>
          <w:rFonts w:ascii="Times New Roman" w:hAnsi="Times New Roman" w:eastAsia="宋体"/>
          <w:b w:val="0"/>
          <w:sz w:val="24"/>
        </w:rPr>
        <w:t>被否方案不删除、归档留档（如 prototype-v1、顾问端 AI v0.1、TestFlight 方案），并登记存疑待办；</w:t>
      </w:r>
    </w:p>
    <w:p>
      <w:pPr>
        <w:pStyle w:val="ListBullet"/>
        <w:spacing w:line="336" w:lineRule="auto" w:after="40"/>
      </w:pPr>
      <w:r>
        <w:rPr>
          <w:rFonts w:ascii="Times New Roman" w:hAnsi="Times New Roman" w:eastAsia="宋体"/>
          <w:b w:val="0"/>
          <w:sz w:val="24"/>
        </w:rPr>
        <w:t>代码同时推 Gitee 私有主仓与 GitHub 私有镜像，保证可随时回溯。</w:t>
      </w:r>
    </w:p>
    <w:p>
      <w:pPr>
        <w:pStyle w:val="Heading2"/>
      </w:pPr>
      <w:bookmarkStart w:id="60" w:name="_LarkToc00060"/>
      <w:r>
        <w:rPr>
          <w:rFonts w:ascii="Times New Roman" w:hAnsi="Times New Roman" w:eastAsia="黑体"/>
          <w:b/>
          <w:color w:val="1B2433"/>
          <w:sz w:val="28"/>
        </w:rPr>
        <w:t>9.3 关键事故与复盘</w:t>
      </w:r>
      <w:bookmarkEnd w:id="60"/>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63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事件</w:t>
            </w:r>
          </w:p>
        </w:tc>
        <w:tc>
          <w:tcPr>
            <w:tcW w:type="dxa" w:w="344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问题</w:t>
            </w:r>
          </w:p>
        </w:tc>
        <w:tc>
          <w:tcPr>
            <w:tcW w:type="dxa" w:w="399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复盘与对策</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prototype-v1 跳步</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未冻结目录与低保真即写高保真，无路由、有引号 bug</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确立“低保真→样机→品牌→高保真”流程；偏离版归档</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视觉偏离投诉</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单文件演示版背景过深、方角圆角混用、元素不统一</w:t>
            </w:r>
          </w:p>
        </w:tc>
        <w:tc>
          <w:tcPr>
            <w:tcW w:type="dxa" w:w="399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找回冻结稿、以组件库为准统一；六维视觉验收（8pt 栅格、组件一致、字阶、渐变节奏、过渡、四态）</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localhost 打不开</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服务跑在云 VM，负责人本地电脑无进程</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放弃内网穿透，改为 Render API + Cloudflare Pages 公网架构</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客户端不像 App</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桌面浏览器中页面不规则、无手机外壳</w:t>
            </w:r>
          </w:p>
        </w:tc>
        <w:tc>
          <w:tcPr>
            <w:tcW w:type="dxa" w:w="399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加 430px 居中画框 + 阴影舞台，移动端全屏</w:t>
            </w:r>
          </w:p>
        </w:tc>
      </w:tr>
      <w:tr>
        <w:trPr>
          <w:cantSplit/>
        </w:trPr>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线上 PDF 上传 500 / 413</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pdfjs 收到 Buffer 而非 Uint8Array；body 体积限制</w:t>
            </w:r>
          </w:p>
        </w:tc>
        <w:tc>
          <w:tcPr>
            <w:tcW w:type="dxa" w:w="399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统一 new Uint8Array；express body 限制提到 25mb 并显式依赖</w:t>
            </w:r>
          </w:p>
        </w:tc>
      </w:tr>
      <w:tr>
        <w:trPr>
          <w:cantSplit/>
        </w:trPr>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VL 整页只识别标题</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JPEG 伪影 + prompt 过长</w:t>
            </w:r>
          </w:p>
        </w:tc>
        <w:tc>
          <w:tcPr>
            <w:tcW w:type="dxa" w:w="399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改 PNG 无损 + 极简 prompt + 逐页校对弹窗</w:t>
            </w:r>
          </w:p>
        </w:tc>
      </w:tr>
    </w:tbl>
    <w:p>
      <w:pPr>
        <w:spacing w:after="40"/>
      </w:pPr>
    </w:p>
    <w:p>
      <w:pPr>
        <w:pStyle w:val="Heading2"/>
      </w:pPr>
      <w:bookmarkStart w:id="61" w:name="_LarkToc00061"/>
      <w:r>
        <w:rPr>
          <w:rFonts w:ascii="Times New Roman" w:hAnsi="Times New Roman" w:eastAsia="黑体"/>
          <w:b/>
          <w:color w:val="1B2433"/>
          <w:sz w:val="28"/>
        </w:rPr>
        <w:t>9.4 协作与验收经验</w:t>
      </w:r>
      <w:bookmarkEnd w:id="61"/>
    </w:p>
    <w:p>
      <w:pPr>
        <w:pStyle w:val="ListBullet"/>
        <w:spacing w:line="336" w:lineRule="auto" w:after="40"/>
      </w:pPr>
      <w:r>
        <w:rPr>
          <w:rFonts w:ascii="Times New Roman" w:hAnsi="Times New Roman" w:eastAsia="宋体"/>
          <w:b w:val="0"/>
          <w:sz w:val="24"/>
        </w:rPr>
        <w:t>功能冻结后不逐步请示，直接做完看结果，减少碎片化打断；里程碑合并实现，不拆过多小步骤；</w:t>
      </w:r>
    </w:p>
    <w:p>
      <w:pPr>
        <w:pStyle w:val="ListBullet"/>
        <w:spacing w:line="336" w:lineRule="auto" w:after="40"/>
      </w:pPr>
      <w:r>
        <w:rPr>
          <w:rFonts w:ascii="Times New Roman" w:hAnsi="Times New Roman" w:eastAsia="宋体"/>
          <w:b w:val="0"/>
          <w:sz w:val="24"/>
        </w:rPr>
        <w:t>视觉与功能成果必须通过公网链接呈现，关键阶段负责人可亲自点验；</w:t>
      </w:r>
    </w:p>
    <w:p>
      <w:pPr>
        <w:pStyle w:val="ListBullet"/>
        <w:spacing w:line="336" w:lineRule="auto" w:after="40"/>
      </w:pPr>
      <w:r>
        <w:rPr>
          <w:rFonts w:ascii="Times New Roman" w:hAnsi="Times New Roman" w:eastAsia="宋体"/>
          <w:b w:val="0"/>
          <w:sz w:val="24"/>
        </w:rPr>
        <w:t>演示数据要饱满、真实（10 份示例资料、完整业务链路），让融资演示更有说服力；</w:t>
      </w:r>
    </w:p>
    <w:p>
      <w:pPr>
        <w:pStyle w:val="ListBullet"/>
        <w:spacing w:line="336" w:lineRule="auto" w:after="40"/>
      </w:pPr>
      <w:r>
        <w:rPr>
          <w:rFonts w:ascii="Times New Roman" w:hAnsi="Times New Roman" w:eastAsia="宋体"/>
          <w:b w:val="0"/>
          <w:sz w:val="24"/>
        </w:rPr>
        <w:t>代码质量优先，每次修复后重跑相关测试与全链路走查，不追求速度牺牲质量；</w:t>
      </w:r>
    </w:p>
    <w:p>
      <w:pPr>
        <w:pStyle w:val="ListBullet"/>
        <w:spacing w:line="336" w:lineRule="auto" w:after="40"/>
      </w:pPr>
      <w:r>
        <w:rPr>
          <w:rFonts w:ascii="Times New Roman" w:hAnsi="Times New Roman" w:eastAsia="宋体"/>
          <w:b w:val="0"/>
          <w:sz w:val="24"/>
        </w:rPr>
        <w:t>涉及凭证（Render Key、Cloudflare Token、GitHub PAT、数据库连接串）一律存本机受限文件，禁止入仓、入日志；</w:t>
      </w:r>
    </w:p>
    <w:p>
      <w:pPr>
        <w:pStyle w:val="ListBullet"/>
        <w:spacing w:line="336" w:lineRule="auto" w:after="40"/>
      </w:pPr>
      <w:r>
        <w:rPr>
          <w:rFonts w:ascii="Times New Roman" w:hAnsi="Times New Roman" w:eastAsia="宋体"/>
          <w:b w:val="0"/>
          <w:sz w:val="24"/>
        </w:rPr>
        <w:t>无 root 环境下用用户态安装依赖（Ollama、pip --user），验证“免费、可复制”的部署路径。</w:t>
      </w:r>
    </w:p>
    <w:p>
      <w:pPr>
        <w:pStyle w:val="Heading1"/>
      </w:pPr>
      <w:bookmarkStart w:id="62" w:name="_LarkToc00062"/>
      <w:r>
        <w:rPr>
          <w:rFonts w:ascii="Times New Roman" w:hAnsi="Times New Roman" w:eastAsia="黑体"/>
          <w:b/>
          <w:color w:val="1B2433"/>
          <w:sz w:val="32"/>
        </w:rPr>
        <w:t>第 10 章 当前状态与后续路线</w:t>
      </w:r>
      <w:bookmarkEnd w:id="62"/>
    </w:p>
    <w:p>
      <w:pPr>
        <w:pStyle w:val="Heading2"/>
      </w:pPr>
      <w:bookmarkStart w:id="63" w:name="_LarkToc00063"/>
      <w:r>
        <w:rPr>
          <w:rFonts w:ascii="Times New Roman" w:hAnsi="Times New Roman" w:eastAsia="黑体"/>
          <w:b/>
          <w:color w:val="1B2433"/>
          <w:sz w:val="28"/>
        </w:rPr>
        <w:t>10.1 里程碑时间线</w:t>
      </w:r>
      <w:bookmarkEnd w:id="63"/>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1996"/>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日期</w:t>
            </w:r>
          </w:p>
        </w:tc>
        <w:tc>
          <w:tcPr>
            <w:tcW w:type="dxa" w:w="7075"/>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里程碑</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09-18</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V1 产品逻辑讨论稿</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09-19</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V2 重规划；G-P2 页面目录；prototype-v2 总后台/销售端/端到端旅程</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09-20</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G-P3 功能卡四批；prototype Pass3–Pass8（门户、闸门、客户端闭环、销售门）</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09-21</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G-P4 对象与状态机；低保真 W1；品牌方向 C；五端高保真陆续完成</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09-22</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D1–D9 决策手册；研发级 PRD M1–M5 冻结；技术架构；M0 内核与 M1 开始</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09-28 至 09-29</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Docker 化、Render 部署、实时系统上线、公网三端可操作</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09-29 至 09-30</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v1.3/v1.4 视觉精修冻结；三端 AI 产品设计、原型与高保真陆续上线</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10-01 至 10-02</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AI 初步功能三端落地；U1 混合 LLM 与 K1 Wiki；U2 顾问端 AI；Web 画框</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10-03 至 10-04</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v1.8–v2.3 走查修复、门户实时化、PWA 免费安装；iPhone 方案暂缓</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10-04 至 10-06</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v2.4 本地 PostgreSQL、v2.5 云端 Neon；V3/V4 规划</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10-06</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V4 战略/功能/技术三文档冻结；P0 本地 AI 中枢、P1 数据工厂 MVP</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10-08</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P2 LLM 混合抽取与发布工段闭环，10 份示例资料发布</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10-09</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P3 采集器与视觉解析；Mac 视觉加固（自检面板 + 逐页校对），冻结上线</w:t>
            </w:r>
          </w:p>
        </w:tc>
      </w:tr>
    </w:tbl>
    <w:p>
      <w:pPr>
        <w:spacing w:after="40"/>
      </w:pPr>
    </w:p>
    <w:p>
      <w:pPr>
        <w:pStyle w:val="Heading2"/>
      </w:pPr>
      <w:bookmarkStart w:id="64" w:name="_LarkToc00064"/>
      <w:r>
        <w:rPr>
          <w:rFonts w:ascii="Times New Roman" w:hAnsi="Times New Roman" w:eastAsia="黑体"/>
          <w:b/>
          <w:color w:val="1B2433"/>
          <w:sz w:val="28"/>
        </w:rPr>
        <w:t>10.2 公网演示入口</w:t>
      </w:r>
      <w:bookmarkEnd w:id="64"/>
    </w:p>
    <w:p>
      <w:pPr>
        <w:spacing w:line="360" w:lineRule="auto"/>
        <w:ind w:firstLine="480"/>
      </w:pPr>
      <w:r>
        <w:rPr>
          <w:rFonts w:ascii="Times New Roman" w:hAnsi="Times New Roman" w:eastAsia="宋体"/>
          <w:b w:val="0"/>
          <w:sz w:val="24"/>
        </w:rPr>
        <w:t>所有成果统一在 https://demo.hbwhere.com 呈现：入口页、安装页（/install）、UI 总览（/ui-gallery）、交易流程（/transaction-flow）、知识架构（/knowledge-arch）、Mac 视觉配置（/mac-vision）、三端 AI 高保真（/ai、/advisor-ai、/admin-ai），以及实时系统（/live/client、/live/advisor、/live/admin、/live/portal）；后端 API 为 Render 免费服务。</w:t>
      </w:r>
    </w:p>
    <w:p>
      <w:pPr>
        <w:pStyle w:val="Heading2"/>
      </w:pPr>
      <w:bookmarkStart w:id="65" w:name="_LarkToc00065"/>
      <w:r>
        <w:rPr>
          <w:rFonts w:ascii="Times New Roman" w:hAnsi="Times New Roman" w:eastAsia="黑体"/>
          <w:b/>
          <w:color w:val="1B2433"/>
          <w:sz w:val="28"/>
        </w:rPr>
        <w:t>10.3 V4 阶段门与后续路线</w:t>
      </w:r>
      <w:bookmarkEnd w:id="65"/>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90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阶段</w:t>
            </w:r>
          </w:p>
        </w:tc>
        <w:tc>
          <w:tcPr>
            <w:tcW w:type="dxa" w:w="3084"/>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主题</w:t>
            </w:r>
          </w:p>
        </w:tc>
        <w:tc>
          <w:tcPr>
            <w:tcW w:type="dxa" w:w="344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冻结门</w:t>
            </w:r>
          </w:p>
        </w:tc>
        <w:tc>
          <w:tcPr>
            <w:tcW w:type="dxa" w:w="163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状态</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P0</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本地 AI 基建加固（模型矩阵、网关、评测红队）</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多模型可路由、红队 100%、状态可视</w:t>
            </w:r>
          </w:p>
        </w:tc>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已完成</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P1</w:t>
            </w:r>
          </w:p>
        </w:tc>
        <w:tc>
          <w:tcPr>
            <w:tcW w:type="dxa" w:w="308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AI 数据工厂 MVP（raw→规范数据/Wiki，四眼发布）</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端到端跑通、准确率与血缘可核验</w:t>
            </w:r>
          </w:p>
        </w:tc>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已完成</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P2</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LLM 混合抽取、真实资料与发布工段</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字段置信可核验、10 份示例发布</w:t>
            </w:r>
          </w:p>
        </w:tc>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已完成</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P3</w:t>
            </w:r>
          </w:p>
        </w:tc>
        <w:tc>
          <w:tcPr>
            <w:tcW w:type="dxa" w:w="308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采集器与扫描件视觉解析</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文件夹/邮箱采集、VL 逐页校对闭环</w:t>
            </w:r>
          </w:p>
        </w:tc>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已完成</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P4</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平台内核抽象 + 移民包沉淀</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行业无关内核与移民包分离、可配置</w:t>
            </w:r>
          </w:p>
        </w:tc>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规划中</w:t>
            </w:r>
          </w:p>
        </w:tc>
      </w:tr>
      <w:tr>
        <w:trPr>
          <w:cantSplit/>
        </w:trPr>
        <w:tc>
          <w:tcPr>
            <w:tcW w:type="dxa" w:w="90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P5</w:t>
            </w:r>
          </w:p>
        </w:tc>
        <w:tc>
          <w:tcPr>
            <w:tcW w:type="dxa" w:w="308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终端承接（真实登录/对象存储/通知/经营分析等）</w:t>
            </w:r>
          </w:p>
        </w:tc>
        <w:tc>
          <w:tcPr>
            <w:tcW w:type="dxa" w:w="344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四端真实可用、零回归</w:t>
            </w:r>
          </w:p>
        </w:tc>
        <w:tc>
          <w:tcPr>
            <w:tcW w:type="dxa" w:w="163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规划中</w:t>
            </w:r>
          </w:p>
        </w:tc>
      </w:tr>
      <w:tr>
        <w:trPr>
          <w:cantSplit/>
        </w:trPr>
        <w:tc>
          <w:tcPr>
            <w:tcW w:type="dxa" w:w="90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P6</w:t>
            </w:r>
          </w:p>
        </w:tc>
        <w:tc>
          <w:tcPr>
            <w:tcW w:type="dxa" w:w="308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第二行业试点（建议律师先行）</w:t>
            </w:r>
          </w:p>
        </w:tc>
        <w:tc>
          <w:tcPr>
            <w:tcW w:type="dxa" w:w="344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按方法论快速落地、形成对外案例</w:t>
            </w:r>
          </w:p>
        </w:tc>
        <w:tc>
          <w:tcPr>
            <w:tcW w:type="dxa" w:w="163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规划中</w:t>
            </w:r>
          </w:p>
        </w:tc>
      </w:tr>
    </w:tbl>
    <w:p>
      <w:pPr>
        <w:spacing w:after="40"/>
      </w:pPr>
    </w:p>
    <w:p>
      <w:pPr>
        <w:pStyle w:val="Heading2"/>
      </w:pPr>
      <w:bookmarkStart w:id="66" w:name="_LarkToc00066"/>
      <w:r>
        <w:rPr>
          <w:rFonts w:ascii="Times New Roman" w:hAnsi="Times New Roman" w:eastAsia="黑体"/>
          <w:b/>
          <w:color w:val="1B2433"/>
          <w:sz w:val="28"/>
        </w:rPr>
        <w:t>10.4 未决事项（不阻塞当前成果）</w:t>
      </w:r>
      <w:bookmarkEnd w:id="66"/>
    </w:p>
    <w:p>
      <w:pPr>
        <w:pStyle w:val="ListBullet"/>
        <w:spacing w:line="336" w:lineRule="auto" w:after="40"/>
      </w:pPr>
      <w:r>
        <w:rPr>
          <w:rFonts w:ascii="Times New Roman" w:hAnsi="Times New Roman" w:eastAsia="宋体"/>
          <w:b w:val="0"/>
          <w:sz w:val="24"/>
        </w:rPr>
        <w:t>负责人 Mac 的具体芯片/内存与已拉取视觉模型的确切标签，待确认后校准模型矩阵；</w:t>
      </w:r>
    </w:p>
    <w:p>
      <w:pPr>
        <w:pStyle w:val="ListBullet"/>
        <w:spacing w:line="336" w:lineRule="auto" w:after="40"/>
      </w:pPr>
      <w:r>
        <w:rPr>
          <w:rFonts w:ascii="Times New Roman" w:hAnsi="Times New Roman" w:eastAsia="宋体"/>
          <w:b w:val="0"/>
          <w:sz w:val="24"/>
        </w:rPr>
        <w:t>第二行业最终选择（建议律师），P4 前确定；</w:t>
      </w:r>
    </w:p>
    <w:p>
      <w:pPr>
        <w:pStyle w:val="ListBullet"/>
        <w:spacing w:line="336" w:lineRule="auto" w:after="40"/>
      </w:pPr>
      <w:r>
        <w:rPr>
          <w:rFonts w:ascii="Times New Roman" w:hAnsi="Times New Roman" w:eastAsia="宋体"/>
          <w:b w:val="0"/>
          <w:sz w:val="24"/>
        </w:rPr>
        <w:t>可选云模型第三档是否开放及允许的任务范围（默认关闭）；</w:t>
      </w:r>
    </w:p>
    <w:p>
      <w:pPr>
        <w:pStyle w:val="ListBullet"/>
        <w:spacing w:line="336" w:lineRule="auto" w:after="40"/>
      </w:pPr>
      <w:r>
        <w:rPr>
          <w:rFonts w:ascii="Times New Roman" w:hAnsi="Times New Roman" w:eastAsia="宋体"/>
          <w:b w:val="0"/>
          <w:sz w:val="24"/>
        </w:rPr>
        <w:t>邮箱采集（IMAP）是否启用，取决于是否提供应用专用密码；未配置即禁用；</w:t>
      </w:r>
    </w:p>
    <w:p>
      <w:pPr>
        <w:pStyle w:val="ListBullet"/>
        <w:spacing w:line="336" w:lineRule="auto" w:after="40"/>
      </w:pPr>
      <w:r>
        <w:rPr>
          <w:rFonts w:ascii="Times New Roman" w:hAnsi="Times New Roman" w:eastAsia="宋体"/>
          <w:b w:val="0"/>
          <w:sz w:val="24"/>
        </w:rPr>
        <w:t>签证数据第三方授权（Q6）未落实前不对客上线真实问答；</w:t>
      </w:r>
    </w:p>
    <w:p>
      <w:pPr>
        <w:pStyle w:val="ListBullet"/>
        <w:spacing w:line="336" w:lineRule="auto" w:after="40"/>
      </w:pPr>
      <w:r>
        <w:rPr>
          <w:rFonts w:ascii="Times New Roman" w:hAnsi="Times New Roman" w:eastAsia="宋体"/>
          <w:b w:val="0"/>
          <w:sz w:val="24"/>
        </w:rPr>
        <w:t>本地 AI 数据工厂 skill 的完整教学文档待补全（当前部署 runbook 已更新）。</w:t>
      </w:r>
    </w:p>
    <w:p>
      <w:pPr>
        <w:pStyle w:val="Heading2"/>
      </w:pPr>
      <w:bookmarkStart w:id="67" w:name="_LarkToc00067"/>
      <w:r>
        <w:rPr>
          <w:rFonts w:ascii="Times New Roman" w:hAnsi="Times New Roman" w:eastAsia="黑体"/>
          <w:b/>
          <w:color w:val="1B2433"/>
          <w:sz w:val="28"/>
        </w:rPr>
        <w:t>10.5 结语</w:t>
      </w:r>
      <w:bookmarkEnd w:id="67"/>
    </w:p>
    <w:p>
      <w:pPr>
        <w:spacing w:line="360" w:lineRule="auto"/>
        <w:ind w:firstLine="480"/>
      </w:pPr>
      <w:r>
        <w:rPr>
          <w:rFonts w:ascii="Times New Roman" w:hAnsi="Times New Roman" w:eastAsia="宋体"/>
          <w:b w:val="0"/>
          <w:sz w:val="24"/>
        </w:rPr>
        <w:t>三周内，项目从一份产品讨论稿发展为一套“统一后台 + 多终端 + AI 数据工厂”的可操作系统，并在零付费的公网架构上稳定演示。移民样板已经跑通从原始资料到可核验数据、从受控业务到 AI 对话的全链路。下一步将把行业无关内核与移民包分离沉淀，按同一方法论向律师、金融、制造复制，验证“一套本地 AI 运营平台解决任意行业管理与展业”的判断。</w:t>
      </w:r>
    </w:p>
    <w:p>
      <w:pPr>
        <w:spacing w:line="360" w:lineRule="auto"/>
        <w:ind w:firstLine="480"/>
      </w:pPr>
      <w:r>
        <w:rPr>
          <w:rFonts w:ascii="Times New Roman" w:hAnsi="Times New Roman" w:eastAsia="宋体"/>
          <w:b w:val="0"/>
          <w:sz w:val="24"/>
        </w:rPr>
        <w:t>本文档随项目持续更新；每次大版本冻结后修订版本号，并在附录 A 产物索引中同步新增文件。</w:t>
      </w:r>
    </w:p>
    <w:p>
      <w:pPr>
        <w:pStyle w:val="Heading1"/>
      </w:pPr>
      <w:bookmarkStart w:id="68" w:name="_LarkToc00068"/>
      <w:r>
        <w:rPr>
          <w:rFonts w:ascii="Times New Roman" w:hAnsi="Times New Roman" w:eastAsia="黑体"/>
          <w:b/>
          <w:color w:val="1B2433"/>
          <w:sz w:val="32"/>
        </w:rPr>
        <w:t>附录 A 产物索引</w:t>
      </w:r>
      <w:bookmarkEnd w:id="68"/>
    </w:p>
    <w:p>
      <w:pPr>
        <w:spacing w:line="360" w:lineRule="auto"/>
        <w:ind w:firstLine="480"/>
      </w:pPr>
      <w:r>
        <w:rPr>
          <w:rFonts w:ascii="Times New Roman" w:hAnsi="Times New Roman" w:eastAsia="宋体"/>
          <w:b w:val="0"/>
          <w:sz w:val="24"/>
        </w:rPr>
        <w:t>项目按七个一级目录归档（仓库根目录），全部进入 Git 管理：</w:t>
      </w:r>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1814"/>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目录</w:t>
            </w:r>
          </w:p>
        </w:tc>
        <w:tc>
          <w:tcPr>
            <w:tcW w:type="dxa" w:w="7257"/>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内容</w:t>
            </w:r>
          </w:p>
        </w:tc>
      </w:tr>
      <w:tr>
        <w:trPr>
          <w:cantSplit/>
        </w:trPr>
        <w:tc>
          <w:tcPr>
            <w:tcW w:type="dxa" w:w="181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01-产品规划</w:t>
            </w:r>
          </w:p>
        </w:tc>
        <w:tc>
          <w:tcPr>
            <w:tcW w:type="dxa" w:w="725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V1/V2/V3/V4 产品文档、D1-D9 决策手册</w:t>
            </w:r>
          </w:p>
        </w:tc>
      </w:tr>
      <w:tr>
        <w:trPr>
          <w:cantSplit/>
        </w:trPr>
        <w:tc>
          <w:tcPr>
            <w:tcW w:type="dxa" w:w="181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02-功能设计</w:t>
            </w:r>
          </w:p>
        </w:tc>
        <w:tc>
          <w:tcPr>
            <w:tcW w:type="dxa" w:w="725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G-P2 页面目录、G-P3 四批功能卡、G-P4 对象状态机、PRD M1–M5、V4 功能设计</w:t>
            </w:r>
          </w:p>
        </w:tc>
      </w:tr>
      <w:tr>
        <w:trPr>
          <w:cantSplit/>
        </w:trPr>
        <w:tc>
          <w:tcPr>
            <w:tcW w:type="dxa" w:w="181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03-原型设计</w:t>
            </w:r>
          </w:p>
        </w:tc>
        <w:tc>
          <w:tcPr>
            <w:tcW w:type="dxa" w:w="725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低保真 wireframes、prototype-v2、AI 三端原型、归档-prototype-v1</w:t>
            </w:r>
          </w:p>
        </w:tc>
      </w:tr>
      <w:tr>
        <w:trPr>
          <w:cantSplit/>
        </w:trPr>
        <w:tc>
          <w:tcPr>
            <w:tcW w:type="dxa" w:w="181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04-UI设计</w:t>
            </w:r>
          </w:p>
        </w:tc>
        <w:tc>
          <w:tcPr>
            <w:tcW w:type="dxa" w:w="725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品牌与视觉方向、设计系统与组件库、五端高保真与 AI 高保真、各版冻结说明</w:t>
            </w:r>
          </w:p>
        </w:tc>
      </w:tr>
      <w:tr>
        <w:trPr>
          <w:cantSplit/>
        </w:trPr>
        <w:tc>
          <w:tcPr>
            <w:tcW w:type="dxa" w:w="181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05-代码</w:t>
            </w:r>
          </w:p>
        </w:tc>
        <w:tc>
          <w:tcPr>
            <w:tcW w:type="dxa" w:w="725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pnpm monorepo（packages/services/apps）、技术文档与部署指南、Dockerfile</w:t>
            </w:r>
          </w:p>
        </w:tc>
      </w:tr>
      <w:tr>
        <w:trPr>
          <w:cantSplit/>
        </w:trPr>
        <w:tc>
          <w:tcPr>
            <w:tcW w:type="dxa" w:w="1814"/>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06-发布</w:t>
            </w:r>
          </w:p>
        </w:tc>
        <w:tc>
          <w:tcPr>
            <w:tcW w:type="dxa" w:w="7257"/>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demo-site 公网站点、PWA、部署脚本、iPhone 部署方案</w:t>
            </w:r>
          </w:p>
        </w:tc>
      </w:tr>
      <w:tr>
        <w:trPr>
          <w:cantSplit/>
        </w:trPr>
        <w:tc>
          <w:tcPr>
            <w:tcW w:type="dxa" w:w="1814"/>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07-AI产品设计</w:t>
            </w:r>
          </w:p>
        </w:tc>
        <w:tc>
          <w:tcPr>
            <w:tcW w:type="dxa" w:w="7257"/>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三端 AI 产品设计与技术路线、U1/U2 深度升级、知识工程分析、存疑待办</w:t>
            </w:r>
          </w:p>
        </w:tc>
      </w:tr>
    </w:tbl>
    <w:p>
      <w:pPr>
        <w:spacing w:after="40"/>
      </w:pPr>
    </w:p>
    <w:p>
      <w:pPr>
        <w:pStyle w:val="Heading1"/>
      </w:pPr>
      <w:bookmarkStart w:id="69" w:name="_LarkToc00069"/>
      <w:r>
        <w:rPr>
          <w:rFonts w:ascii="Times New Roman" w:hAnsi="Times New Roman" w:eastAsia="黑体"/>
          <w:b/>
          <w:color w:val="1B2433"/>
          <w:sz w:val="32"/>
        </w:rPr>
        <w:t>附录 B 关键设计 Token 与默认参数</w:t>
      </w:r>
      <w:bookmarkEnd w:id="69"/>
    </w:p>
    <w:p>
      <w:pPr>
        <w:pStyle w:val="Heading2"/>
      </w:pPr>
      <w:bookmarkStart w:id="70" w:name="_LarkToc00070"/>
      <w:r>
        <w:rPr>
          <w:rFonts w:ascii="Times New Roman" w:hAnsi="Times New Roman" w:eastAsia="黑体"/>
          <w:b/>
          <w:color w:val="1B2433"/>
          <w:sz w:val="28"/>
        </w:rPr>
        <w:t>B.1 设计 Token 摘要</w:t>
      </w:r>
      <w:bookmarkEnd w:id="70"/>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2540"/>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项目</w:t>
            </w:r>
          </w:p>
        </w:tc>
        <w:tc>
          <w:tcPr>
            <w:tcW w:type="dxa" w:w="6531"/>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值</w:t>
            </w:r>
          </w:p>
        </w:tc>
      </w:tr>
      <w:tr>
        <w:trPr>
          <w:cantSplit/>
        </w:trPr>
        <w:tc>
          <w:tcPr>
            <w:tcW w:type="dxa" w:w="254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海军蓝 / 莓红</w:t>
            </w:r>
          </w:p>
        </w:tc>
        <w:tc>
          <w:tcPr>
            <w:tcW w:type="dxa" w:w="653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#002661 / #AF2D67</w:t>
            </w:r>
          </w:p>
        </w:tc>
      </w:tr>
      <w:tr>
        <w:trPr>
          <w:cantSplit/>
        </w:trPr>
        <w:tc>
          <w:tcPr>
            <w:tcW w:type="dxa" w:w="254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签名渐变</w:t>
            </w:r>
          </w:p>
        </w:tc>
        <w:tc>
          <w:tcPr>
            <w:tcW w:type="dxa" w:w="653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132deg #AF2D67 → #5E246B 46% → #002661，170% 背景 16s 漂移</w:t>
            </w:r>
          </w:p>
        </w:tc>
      </w:tr>
      <w:tr>
        <w:trPr>
          <w:cantSplit/>
        </w:trPr>
        <w:tc>
          <w:tcPr>
            <w:tcW w:type="dxa" w:w="254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中性色</w:t>
            </w:r>
          </w:p>
        </w:tc>
        <w:tc>
          <w:tcPr>
            <w:tcW w:type="dxa" w:w="653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舞台 #E9EDF3、纸面 #F5F7FA、墨 #1B2433、次要 #5E6B7E、线 #E5E9F0</w:t>
            </w:r>
          </w:p>
        </w:tc>
      </w:tr>
      <w:tr>
        <w:trPr>
          <w:cantSplit/>
        </w:trPr>
        <w:tc>
          <w:tcPr>
            <w:tcW w:type="dxa" w:w="254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语义色</w:t>
            </w:r>
          </w:p>
        </w:tc>
        <w:tc>
          <w:tcPr>
            <w:tcW w:type="dxa" w:w="653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成功 #177A5B、警示 #B45309、错误 #C03221、信息 #1D5F8A</w:t>
            </w:r>
          </w:p>
        </w:tc>
      </w:tr>
      <w:tr>
        <w:trPr>
          <w:cantSplit/>
        </w:trPr>
        <w:tc>
          <w:tcPr>
            <w:tcW w:type="dxa" w:w="254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圆角</w:t>
            </w:r>
          </w:p>
        </w:tc>
        <w:tc>
          <w:tcPr>
            <w:tcW w:type="dxa" w:w="653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手机 42 / 屏 32 / 卡 18（后台门户 15）/ 按钮 22 / 胶囊 999</w:t>
            </w:r>
          </w:p>
        </w:tc>
      </w:tr>
      <w:tr>
        <w:trPr>
          <w:cantSplit/>
        </w:trPr>
        <w:tc>
          <w:tcPr>
            <w:tcW w:type="dxa" w:w="2540"/>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转场</w:t>
            </w:r>
          </w:p>
        </w:tc>
        <w:tc>
          <w:tcPr>
            <w:tcW w:type="dxa" w:w="6531"/>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页面 420ms cubic-bezier(.22,1,.36,1)；入场 14px、逐项延迟 40ms；按压缩放 .962</w:t>
            </w:r>
          </w:p>
        </w:tc>
      </w:tr>
      <w:tr>
        <w:trPr>
          <w:cantSplit/>
        </w:trPr>
        <w:tc>
          <w:tcPr>
            <w:tcW w:type="dxa" w:w="2540"/>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字体</w:t>
            </w:r>
          </w:p>
        </w:tc>
        <w:tc>
          <w:tcPr>
            <w:tcW w:type="dxa" w:w="6531"/>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Manrope + Noto Sans SC；输入 ≥16px 防 iOS 缩放</w:t>
            </w:r>
          </w:p>
        </w:tc>
      </w:tr>
    </w:tbl>
    <w:p>
      <w:pPr>
        <w:spacing w:after="40"/>
      </w:pPr>
    </w:p>
    <w:p>
      <w:pPr>
        <w:pStyle w:val="Heading2"/>
      </w:pPr>
      <w:bookmarkStart w:id="71" w:name="_LarkToc00071"/>
      <w:r>
        <w:rPr>
          <w:rFonts w:ascii="Times New Roman" w:hAnsi="Times New Roman" w:eastAsia="黑体"/>
          <w:b/>
          <w:color w:val="1B2433"/>
          <w:sz w:val="28"/>
        </w:rPr>
        <w:t>B.2 业务默认参数（影子期校准）</w:t>
      </w:r>
      <w:bookmarkEnd w:id="71"/>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2903"/>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项目</w:t>
            </w:r>
          </w:p>
        </w:tc>
        <w:tc>
          <w:tcPr>
            <w:tcW w:type="dxa" w:w="6168"/>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默认值</w:t>
            </w:r>
          </w:p>
        </w:tc>
      </w:tr>
      <w:tr>
        <w:trPr>
          <w:cantSplit/>
        </w:trPr>
        <w:tc>
          <w:tcPr>
            <w:tcW w:type="dxa" w:w="290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授权续期提醒</w:t>
            </w:r>
          </w:p>
        </w:tc>
        <w:tc>
          <w:tcPr>
            <w:tcW w:type="dxa" w:w="616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60 / 30 / 7 天</w:t>
            </w:r>
          </w:p>
        </w:tc>
      </w:tr>
      <w:tr>
        <w:trPr>
          <w:cantSplit/>
        </w:trPr>
        <w:tc>
          <w:tcPr>
            <w:tcW w:type="dxa" w:w="290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T0 通知换道</w:t>
            </w:r>
          </w:p>
        </w:tc>
        <w:tc>
          <w:tcPr>
            <w:tcW w:type="dxa" w:w="616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App 2 小时 → 短信 → 人工 → 4 小时内升级主管</w:t>
            </w:r>
          </w:p>
        </w:tc>
      </w:tr>
      <w:tr>
        <w:trPr>
          <w:cantSplit/>
        </w:trPr>
        <w:tc>
          <w:tcPr>
            <w:tcW w:type="dxa" w:w="290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原件借阅 / 影印</w:t>
            </w:r>
          </w:p>
        </w:tc>
        <w:tc>
          <w:tcPr>
            <w:tcW w:type="dxa" w:w="616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2 小时 / 1 工作日；门户影印保留 14 天</w:t>
            </w:r>
          </w:p>
        </w:tc>
      </w:tr>
      <w:tr>
        <w:trPr>
          <w:cantSplit/>
        </w:trPr>
        <w:tc>
          <w:tcPr>
            <w:tcW w:type="dxa" w:w="290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政策核验周期</w:t>
            </w:r>
          </w:p>
        </w:tc>
        <w:tc>
          <w:tcPr>
            <w:tcW w:type="dxa" w:w="616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政策 90 天，其他 180 天；服务方临期 60 天提醒</w:t>
            </w:r>
          </w:p>
        </w:tc>
      </w:tr>
      <w:tr>
        <w:trPr>
          <w:cantSplit/>
        </w:trPr>
        <w:tc>
          <w:tcPr>
            <w:tcW w:type="dxa" w:w="290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材料规格</w:t>
            </w:r>
          </w:p>
        </w:tc>
        <w:tc>
          <w:tcPr>
            <w:tcW w:type="dxa" w:w="616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JPG/JPEG/PDF，20MB；证件照仅 JPEG，流水仅 PDF</w:t>
            </w:r>
          </w:p>
        </w:tc>
      </w:tr>
      <w:tr>
        <w:trPr>
          <w:cantSplit/>
        </w:trPr>
        <w:tc>
          <w:tcPr>
            <w:tcW w:type="dxa" w:w="290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方案有效期 / iPad 草稿</w:t>
            </w:r>
          </w:p>
        </w:tc>
        <w:tc>
          <w:tcPr>
            <w:tcW w:type="dxa" w:w="616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14 天 / 7 天</w:t>
            </w:r>
          </w:p>
        </w:tc>
      </w:tr>
      <w:tr>
        <w:trPr>
          <w:cantSplit/>
        </w:trPr>
        <w:tc>
          <w:tcPr>
            <w:tcW w:type="dxa" w:w="290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SLA</w:t>
            </w:r>
          </w:p>
        </w:tc>
        <w:tc>
          <w:tcPr>
            <w:tcW w:type="dxa" w:w="616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咨询、投诉 1 工作日，复杂件 10 工作日</w:t>
            </w:r>
          </w:p>
        </w:tc>
      </w:tr>
      <w:tr>
        <w:trPr>
          <w:cantSplit/>
        </w:trPr>
        <w:tc>
          <w:tcPr>
            <w:tcW w:type="dxa" w:w="290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注销冷静期 / 邀请有效期</w:t>
            </w:r>
          </w:p>
        </w:tc>
        <w:tc>
          <w:tcPr>
            <w:tcW w:type="dxa" w:w="616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15 天 / 30 天；授权上限 730 天</w:t>
            </w:r>
          </w:p>
        </w:tc>
      </w:tr>
      <w:tr>
        <w:trPr>
          <w:cantSplit/>
        </w:trPr>
        <w:tc>
          <w:tcPr>
            <w:tcW w:type="dxa" w:w="290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AI 超时 / 探测</w:t>
            </w:r>
          </w:p>
        </w:tc>
        <w:tc>
          <w:tcPr>
            <w:tcW w:type="dxa" w:w="616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首 token 20 秒；模型探测 1.2–1.5 秒；状态自动保存 10 秒</w:t>
            </w:r>
          </w:p>
        </w:tc>
      </w:tr>
      <w:tr>
        <w:trPr>
          <w:cantSplit/>
        </w:trPr>
        <w:tc>
          <w:tcPr>
            <w:tcW w:type="dxa" w:w="2903"/>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视觉解析</w:t>
            </w:r>
          </w:p>
        </w:tc>
        <w:tc>
          <w:tcPr>
            <w:tcW w:type="dxa" w:w="6168"/>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最多前 12 页、scale 2.0、PNG 无损</w:t>
            </w:r>
          </w:p>
        </w:tc>
      </w:tr>
      <w:tr>
        <w:trPr>
          <w:cantSplit/>
        </w:trPr>
        <w:tc>
          <w:tcPr>
            <w:tcW w:type="dxa" w:w="2903"/>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采集轮询</w:t>
            </w:r>
          </w:p>
        </w:tc>
        <w:tc>
          <w:tcPr>
            <w:tcW w:type="dxa" w:w="6168"/>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文件夹 30 秒；邮箱 300 秒、最近 50 封</w:t>
            </w:r>
          </w:p>
        </w:tc>
      </w:tr>
    </w:tbl>
    <w:p>
      <w:pPr>
        <w:spacing w:after="40"/>
      </w:pPr>
    </w:p>
    <w:p>
      <w:pPr>
        <w:pStyle w:val="Heading1"/>
      </w:pPr>
      <w:bookmarkStart w:id="72" w:name="_LarkToc00072"/>
      <w:r>
        <w:rPr>
          <w:rFonts w:ascii="Times New Roman" w:hAnsi="Times New Roman" w:eastAsia="黑体"/>
          <w:b/>
          <w:color w:val="1B2433"/>
          <w:sz w:val="32"/>
        </w:rPr>
        <w:t>附录 C 公网链接、仓库与环境</w:t>
      </w:r>
      <w:bookmarkEnd w:id="72"/>
    </w:p>
    <w:tbl>
      <w:tblPr>
        <w:tblW w:type="auto" w:w="0"/>
        <w:jc w:val="center"/>
        <w:tblLayout w:type="fixed"/>
        <w:tblLook w:firstColumn="1" w:firstRow="1" w:lastColumn="0" w:lastRow="0" w:noHBand="0" w:noVBand="1" w:val="04A0"/>
      </w:tblPr>
      <w:tblGrid>
        <w:gridCol w:w="4536"/>
        <w:gridCol w:w="4536"/>
      </w:tblGrid>
      <w:tr>
        <w:trPr>
          <w:tblHeader w:val="true"/>
          <w:cantSplit/>
        </w:trPr>
        <w:tc>
          <w:tcPr>
            <w:tcW w:type="dxa" w:w="1996"/>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项</w:t>
            </w:r>
          </w:p>
        </w:tc>
        <w:tc>
          <w:tcPr>
            <w:tcW w:type="dxa" w:w="7075"/>
            <w:tcBorders>
              <w:top w:val="single" w:sz="4" w:space="0" w:color="BFC7D4"/>
              <w:left w:val="single" w:sz="4" w:space="0" w:color="BFC7D4"/>
              <w:bottom w:val="single" w:sz="4" w:space="0" w:color="BFC7D4"/>
              <w:right w:val="single" w:sz="4" w:space="0" w:color="BFC7D4"/>
            </w:tcBorders>
            <w:shd w:val="clear" w:color="auto" w:fill="EAEFF7"/>
            <w:vAlign w:val="center"/>
          </w:tcPr>
          <w:p>
            <w:pPr>
              <w:spacing w:line="276" w:lineRule="auto" w:after="20" w:before="20"/>
              <w:ind w:firstLine="0"/>
              <w:jc w:val="center"/>
            </w:pPr>
            <w:r>
              <w:rPr>
                <w:rFonts w:ascii="Times New Roman" w:hAnsi="Times New Roman" w:eastAsia="宋体"/>
                <w:b/>
                <w:color w:val="1B2433"/>
                <w:sz w:val="21"/>
              </w:rPr>
              <w:t>值 / 说明</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公网演示</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https://demo.hbwhere.com（Cloudflare Pages 项目 hbwhere-demo）</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实时系统</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/live/client、/live/advisor、/live/admin、/live/portal</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后端 API</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Render 免费 Docker 服务（新加坡区，健康检查 /health，休眠约 15 分钟）</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数据库</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Neon 免费 PostgreSQL（新加坡区，支持 pgvector）</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Gitee 主仓</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私有仓库 transparent-identity-platform（origin，main 分支）</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GitHub 镜像</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私有仓库（Render 经 GitHub App 读取），代码不公开</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域名</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阿里云 hbwhere.com；仅新增 demo CNAME，原 www 站点不动</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开发环境</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Node 22 / pnpm 9 / Turbo / TS 5.9；安装依赖需指定官方 npm registry</w:t>
            </w:r>
          </w:p>
        </w:tc>
      </w:tr>
      <w:tr>
        <w:trPr>
          <w:cantSplit/>
        </w:trPr>
        <w:tc>
          <w:tcPr>
            <w:tcW w:type="dxa" w:w="1996"/>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center"/>
            </w:pPr>
            <w:r>
              <w:rPr>
                <w:rFonts w:ascii="Times New Roman" w:hAnsi="Times New Roman" w:eastAsia="宋体"/>
                <w:b w:val="0"/>
                <w:color w:val="1B2433"/>
                <w:sz w:val="21"/>
              </w:rPr>
              <w:t>测试</w:t>
            </w:r>
          </w:p>
        </w:tc>
        <w:tc>
          <w:tcPr>
            <w:tcW w:type="dxa" w:w="7075"/>
            <w:tcBorders>
              <w:top w:val="single" w:sz="4" w:space="0" w:color="BFC7D4"/>
              <w:left w:val="single" w:sz="4" w:space="0" w:color="BFC7D4"/>
              <w:bottom w:val="single" w:sz="4" w:space="0" w:color="BFC7D4"/>
              <w:right w:val="single" w:sz="4" w:space="0" w:color="BFC7D4"/>
            </w:tcBorders>
            <w:vAlign w:val="center"/>
          </w:tcPr>
          <w:p>
            <w:pPr>
              <w:spacing w:line="276" w:lineRule="auto" w:after="20" w:before="20"/>
              <w:ind w:firstLine="0"/>
              <w:jc w:val="left"/>
            </w:pPr>
            <w:r>
              <w:rPr>
                <w:rFonts w:ascii="Times New Roman" w:hAnsi="Times New Roman" w:eastAsia="宋体"/>
                <w:b w:val="0"/>
                <w:color w:val="1B2433"/>
                <w:sz w:val="21"/>
              </w:rPr>
              <w:t>node --test，当前 160 项（158 通过 / 2 跳过 / 0 失败）</w:t>
            </w:r>
          </w:p>
        </w:tc>
      </w:tr>
      <w:tr>
        <w:trPr>
          <w:cantSplit/>
        </w:trPr>
        <w:tc>
          <w:tcPr>
            <w:tcW w:type="dxa" w:w="1996"/>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center"/>
            </w:pPr>
            <w:r>
              <w:rPr>
                <w:rFonts w:ascii="Times New Roman" w:hAnsi="Times New Roman" w:eastAsia="宋体"/>
                <w:b w:val="0"/>
                <w:color w:val="1B2433"/>
                <w:sz w:val="21"/>
              </w:rPr>
              <w:t>本地 AI</w:t>
            </w:r>
          </w:p>
        </w:tc>
        <w:tc>
          <w:tcPr>
            <w:tcW w:type="dxa" w:w="7075"/>
            <w:tcBorders>
              <w:top w:val="single" w:sz="4" w:space="0" w:color="BFC7D4"/>
              <w:left w:val="single" w:sz="4" w:space="0" w:color="BFC7D4"/>
              <w:bottom w:val="single" w:sz="4" w:space="0" w:color="BFC7D4"/>
              <w:right w:val="single" w:sz="4" w:space="0" w:color="BFC7D4"/>
            </w:tcBorders>
            <w:shd w:val="clear" w:color="auto" w:fill="F5F7FA"/>
            <w:vAlign w:val="center"/>
          </w:tcPr>
          <w:p>
            <w:pPr>
              <w:spacing w:line="276" w:lineRule="auto" w:after="20" w:before="20"/>
              <w:ind w:firstLine="0"/>
              <w:jc w:val="left"/>
            </w:pPr>
            <w:r>
              <w:rPr>
                <w:rFonts w:ascii="Times New Roman" w:hAnsi="Times New Roman" w:eastAsia="宋体"/>
                <w:b w:val="0"/>
                <w:color w:val="1B2433"/>
                <w:sz w:val="21"/>
              </w:rPr>
              <w:t>Ollama + Qwen 系列（qwen3:7b、qwen2.5:7b、qwen2.5vl）；本地优先、云默认关闭</w:t>
            </w:r>
          </w:p>
        </w:tc>
      </w:tr>
    </w:tbl>
    <w:p>
      <w:pPr>
        <w:spacing w:after="40"/>
      </w:pPr>
    </w:p>
    <w:p>
      <w:pPr>
        <w:spacing w:line="360" w:lineRule="auto"/>
      </w:pPr>
      <w:r>
        <w:rPr>
          <w:rFonts w:ascii="Times New Roman" w:hAnsi="Times New Roman" w:eastAsia="宋体"/>
          <w:b w:val="0"/>
          <w:color w:val="5E6B7E"/>
          <w:sz w:val="21"/>
        </w:rPr>
        <w:t>说明：本文档不含任何明文密钥；各类 Token 与连接串仅保存在本机受限文件与平台环境变量中，不进入仓库与文档。</w:t>
      </w:r>
    </w:p>
    <w:sectPr w:rsidR="00FC693F" w:rsidRPr="0006063C" w:rsidSect="00034616">
      <w:footerReference w:type="default" r:id="rId11"/>
      <w:pgSz w:w="11906" w:h="16838"/>
      <w:pgMar w:top="1417" w:right="1417" w:bottom="1417" w:left="141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5E6B7E"/>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1f4dc9b910b5e35d229b6eedc7eab9bd5eaf4b0153c03f70db88352fbc54e817:aac7f9d3254b4dcfdc0df089ae18370929b5c0c973e2b064f92f6cb398ea127f"/>
  </w:docVars>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12" w:lineRule="auto"/>
      <w:outlineLvl w:val="0"/>
    </w:pPr>
    <w:rPr>
      <w:rFonts w:asciiTheme="majorHAnsi" w:eastAsiaTheme="majorEastAsia" w:hAnsiTheme="majorHAnsi" w:cstheme="majorBidi" w:ascii="Times New Roman" w:hAnsi="Times New Roman" w:eastAsia="黑体"/>
      <w:b/>
      <w:bCs/>
      <w:color w:val="1B2433"/>
      <w:sz w:val="32"/>
      <w:szCs w:val="28"/>
    </w:rPr>
  </w:style>
  <w:style w:type="paragraph" w:styleId="Heading2">
    <w:name w:val="heading 2"/>
    <w:basedOn w:val="Normal"/>
    <w:next w:val="Normal"/>
    <w:link w:val="Heading2Char"/>
    <w:uiPriority w:val="9"/>
    <w:unhideWhenUsed/>
    <w:qFormat/>
    <w:rsid w:val="00FC693F"/>
    <w:pPr>
      <w:keepNext/>
      <w:keepLines/>
      <w:spacing w:before="220" w:after="100" w:line="312" w:lineRule="auto"/>
      <w:outlineLvl w:val="1"/>
    </w:pPr>
    <w:rPr>
      <w:rFonts w:asciiTheme="majorHAnsi" w:eastAsiaTheme="majorEastAsia" w:hAnsiTheme="majorHAnsi" w:cstheme="majorBidi" w:ascii="Times New Roman" w:hAnsi="Times New Roman" w:eastAsia="黑体"/>
      <w:b/>
      <w:bCs/>
      <w:color w:val="1B2433"/>
      <w:sz w:val="28"/>
      <w:szCs w:val="26"/>
    </w:rPr>
  </w:style>
  <w:style w:type="paragraph" w:styleId="Heading3">
    <w:name w:val="heading 3"/>
    <w:basedOn w:val="Normal"/>
    <w:next w:val="Normal"/>
    <w:link w:val="Heading3Char"/>
    <w:uiPriority w:val="9"/>
    <w:unhideWhenUsed/>
    <w:qFormat/>
    <w:rsid w:val="00FC693F"/>
    <w:pPr>
      <w:keepNext/>
      <w:keepLines/>
      <w:spacing w:before="180" w:after="80" w:line="312" w:lineRule="auto"/>
      <w:outlineLvl w:val="2"/>
    </w:pPr>
    <w:rPr>
      <w:rFonts w:asciiTheme="majorHAnsi" w:eastAsiaTheme="majorEastAsia" w:hAnsiTheme="majorHAnsi" w:cstheme="majorBidi" w:ascii="Times New Roman" w:hAnsi="Times New Roman" w:eastAsia="黑体"/>
      <w:b/>
      <w:bCs/>
      <w:color w:val="1B24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