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CAdir单细胞联合聚类的复现与新数据对照实验</w:t>
      </w:r>
    </w:p>
    <w:p>
      <w:pPr>
        <w:pStyle w:val="Subtitle"/>
      </w:pPr>
      <w:r>
        <w:t xml:space="preserve">科研基础训练实验报告</w:t>
      </w:r>
    </w:p>
    <w:p>
      <w:pPr>
        <w:pStyle w:val="Date"/>
      </w:pPr>
      <w:r>
        <w:t xml:space="preserve">2026年10月27日</w:t>
      </w:r>
    </w:p>
    <w:p>
      <w:pPr>
        <w:pStyle w:val="Heading1"/>
        <w:pageBreakBefore/>
      </w:pPr>
      <w:r>
        <w:t>目录</w:t>
      </w:r>
    </w:p>
    <w:p>
      <w:pPr>
        <w:keepNext w:val="0"/>
        <w:tabs>
          <w:tab w:pos="8957" w:val="right" w:leader="dot"/>
        </w:tabs>
        <w:spacing w:after="40" w:line="240" w:lineRule="auto"/>
        <w:ind w:left="0"/>
      </w:pPr>
      <w:r>
        <w:rPr>
          <w:sz w:val="18"/>
        </w:rPr>
        <w:t>摘要</w:t>
        <w:tab/>
        <w:t>4</w:t>
      </w:r>
    </w:p>
    <w:p>
      <w:pPr>
        <w:keepNext w:val="0"/>
        <w:tabs>
          <w:tab w:pos="8957" w:val="right" w:leader="dot"/>
        </w:tabs>
        <w:spacing w:after="40" w:line="240" w:lineRule="auto"/>
        <w:ind w:left="0"/>
      </w:pPr>
      <w:r>
        <w:rPr>
          <w:sz w:val="18"/>
        </w:rPr>
        <w:t>Abstract</w:t>
        <w:tab/>
        <w:t>4</w:t>
      </w:r>
    </w:p>
    <w:p>
      <w:pPr>
        <w:keepNext w:val="0"/>
        <w:tabs>
          <w:tab w:pos="8957" w:val="right" w:leader="dot"/>
        </w:tabs>
        <w:spacing w:after="40" w:line="240" w:lineRule="auto"/>
        <w:ind w:left="0"/>
      </w:pPr>
      <w:r>
        <w:rPr>
          <w:sz w:val="18"/>
        </w:rPr>
        <w:t>1 引言</w:t>
        <w:tab/>
        <w:t>5</w:t>
      </w:r>
    </w:p>
    <w:p>
      <w:pPr>
        <w:keepNext w:val="0"/>
        <w:tabs>
          <w:tab w:pos="8957" w:val="right" w:leader="dot"/>
        </w:tabs>
        <w:spacing w:after="40" w:line="240" w:lineRule="auto"/>
        <w:ind w:left="283"/>
      </w:pPr>
      <w:r>
        <w:rPr>
          <w:sz w:val="18"/>
        </w:rPr>
        <w:t>1.1 研究背景与问题</w:t>
        <w:tab/>
        <w:t>5</w:t>
      </w:r>
    </w:p>
    <w:p>
      <w:pPr>
        <w:keepNext w:val="0"/>
        <w:tabs>
          <w:tab w:pos="8957" w:val="right" w:leader="dot"/>
        </w:tabs>
        <w:spacing w:after="40" w:line="240" w:lineRule="auto"/>
        <w:ind w:left="283"/>
      </w:pPr>
      <w:r>
        <w:rPr>
          <w:sz w:val="18"/>
        </w:rPr>
        <w:t>1.2 实验目标</w:t>
        <w:tab/>
        <w:t>5</w:t>
      </w:r>
    </w:p>
    <w:p>
      <w:pPr>
        <w:keepNext w:val="0"/>
        <w:tabs>
          <w:tab w:pos="8957" w:val="right" w:leader="dot"/>
        </w:tabs>
        <w:spacing w:after="40" w:line="240" w:lineRule="auto"/>
        <w:ind w:left="0"/>
      </w:pPr>
      <w:r>
        <w:rPr>
          <w:sz w:val="18"/>
        </w:rPr>
        <w:t>2 相关工作与数据来源</w:t>
        <w:tab/>
        <w:t>6</w:t>
      </w:r>
    </w:p>
    <w:p>
      <w:pPr>
        <w:keepNext w:val="0"/>
        <w:tabs>
          <w:tab w:pos="8957" w:val="right" w:leader="dot"/>
        </w:tabs>
        <w:spacing w:after="40" w:line="240" w:lineRule="auto"/>
        <w:ind w:left="283"/>
      </w:pPr>
      <w:r>
        <w:rPr>
          <w:sz w:val="18"/>
        </w:rPr>
        <w:t>2.1 单细胞分析流程</w:t>
        <w:tab/>
        <w:t>6</w:t>
      </w:r>
    </w:p>
    <w:p>
      <w:pPr>
        <w:keepNext w:val="0"/>
        <w:tabs>
          <w:tab w:pos="8957" w:val="right" w:leader="dot"/>
        </w:tabs>
        <w:spacing w:after="40" w:line="240" w:lineRule="auto"/>
        <w:ind w:left="283"/>
      </w:pPr>
      <w:r>
        <w:rPr>
          <w:sz w:val="18"/>
        </w:rPr>
        <w:t>2.2 对照方法与评价</w:t>
        <w:tab/>
        <w:t>6</w:t>
      </w:r>
    </w:p>
    <w:p>
      <w:pPr>
        <w:keepNext w:val="0"/>
        <w:tabs>
          <w:tab w:pos="8957" w:val="right" w:leader="dot"/>
        </w:tabs>
        <w:spacing w:after="40" w:line="240" w:lineRule="auto"/>
        <w:ind w:left="283"/>
      </w:pPr>
      <w:r>
        <w:rPr>
          <w:sz w:val="18"/>
        </w:rPr>
        <w:t>2.3 数据规模与实验入口</w:t>
        <w:tab/>
        <w:t>6</w:t>
      </w:r>
    </w:p>
    <w:p>
      <w:pPr>
        <w:keepNext w:val="0"/>
        <w:tabs>
          <w:tab w:pos="8957" w:val="right" w:leader="dot"/>
        </w:tabs>
        <w:spacing w:after="40" w:line="240" w:lineRule="auto"/>
        <w:ind w:left="0"/>
      </w:pPr>
      <w:r>
        <w:rPr>
          <w:sz w:val="18"/>
        </w:rPr>
        <w:t>3 方法原理</w:t>
        <w:tab/>
        <w:t>7</w:t>
      </w:r>
    </w:p>
    <w:p>
      <w:pPr>
        <w:keepNext w:val="0"/>
        <w:tabs>
          <w:tab w:pos="8957" w:val="right" w:leader="dot"/>
        </w:tabs>
        <w:spacing w:after="40" w:line="240" w:lineRule="auto"/>
        <w:ind w:left="283"/>
      </w:pPr>
      <w:r>
        <w:rPr>
          <w:sz w:val="18"/>
        </w:rPr>
        <w:t>3.1 高变基因与输入表示</w:t>
        <w:tab/>
        <w:t>7</w:t>
      </w:r>
    </w:p>
    <w:p>
      <w:pPr>
        <w:keepNext w:val="0"/>
        <w:tabs>
          <w:tab w:pos="8957" w:val="right" w:leader="dot"/>
        </w:tabs>
        <w:spacing w:after="40" w:line="240" w:lineRule="auto"/>
        <w:ind w:left="283"/>
      </w:pPr>
      <w:r>
        <w:rPr>
          <w:sz w:val="18"/>
        </w:rPr>
        <w:t>3.2 对应分析</w:t>
        <w:tab/>
        <w:t>7</w:t>
      </w:r>
    </w:p>
    <w:p>
      <w:pPr>
        <w:keepNext w:val="0"/>
        <w:tabs>
          <w:tab w:pos="8957" w:val="right" w:leader="dot"/>
        </w:tabs>
        <w:spacing w:after="40" w:line="240" w:lineRule="auto"/>
        <w:ind w:left="283"/>
      </w:pPr>
      <w:r>
        <w:rPr>
          <w:sz w:val="18"/>
        </w:rPr>
        <w:t>3.3 方向分配与更新</w:t>
        <w:tab/>
        <w:t>8</w:t>
      </w:r>
    </w:p>
    <w:p>
      <w:pPr>
        <w:keepNext w:val="0"/>
        <w:tabs>
          <w:tab w:pos="8957" w:val="right" w:leader="dot"/>
        </w:tabs>
        <w:spacing w:after="40" w:line="240" w:lineRule="auto"/>
        <w:ind w:left="283"/>
      </w:pPr>
      <w:r>
        <w:rPr>
          <w:sz w:val="18"/>
        </w:rPr>
        <w:t>3.4 拆分、合并与簇数变化</w:t>
        <w:tab/>
        <w:t>8</w:t>
      </w:r>
    </w:p>
    <w:p>
      <w:pPr>
        <w:keepNext w:val="0"/>
        <w:tabs>
          <w:tab w:pos="8957" w:val="right" w:leader="dot"/>
        </w:tabs>
        <w:spacing w:after="40" w:line="240" w:lineRule="auto"/>
        <w:ind w:left="283"/>
      </w:pPr>
      <w:r>
        <w:rPr>
          <w:sz w:val="18"/>
        </w:rPr>
        <w:t>3.5 基因分配与关联图</w:t>
        <w:tab/>
        <w:t>8</w:t>
      </w:r>
    </w:p>
    <w:p>
      <w:pPr>
        <w:keepNext w:val="0"/>
        <w:tabs>
          <w:tab w:pos="8957" w:val="right" w:leader="dot"/>
        </w:tabs>
        <w:spacing w:after="40" w:line="240" w:lineRule="auto"/>
        <w:ind w:left="283"/>
      </w:pPr>
      <w:r>
        <w:rPr>
          <w:sz w:val="18"/>
        </w:rPr>
        <w:t>3.6 基因排名与自动注释</w:t>
        <w:tab/>
        <w:t>9</w:t>
      </w:r>
    </w:p>
    <w:p>
      <w:pPr>
        <w:keepNext w:val="0"/>
        <w:tabs>
          <w:tab w:pos="8957" w:val="right" w:leader="dot"/>
        </w:tabs>
        <w:spacing w:after="40" w:line="240" w:lineRule="auto"/>
        <w:ind w:left="283"/>
      </w:pPr>
      <w:r>
        <w:rPr>
          <w:sz w:val="18"/>
        </w:rPr>
        <w:t>3.7 评价指标</w:t>
        <w:tab/>
        <w:t>9</w:t>
      </w:r>
    </w:p>
    <w:p>
      <w:pPr>
        <w:keepNext w:val="0"/>
        <w:tabs>
          <w:tab w:pos="8957" w:val="right" w:leader="dot"/>
        </w:tabs>
        <w:spacing w:after="40" w:line="240" w:lineRule="auto"/>
        <w:ind w:left="0"/>
      </w:pPr>
      <w:r>
        <w:rPr>
          <w:sz w:val="18"/>
        </w:rPr>
        <w:t>4 实验环境与完整操作流程</w:t>
        <w:tab/>
        <w:t>10</w:t>
      </w:r>
    </w:p>
    <w:p>
      <w:pPr>
        <w:keepNext w:val="0"/>
        <w:tabs>
          <w:tab w:pos="8957" w:val="right" w:leader="dot"/>
        </w:tabs>
        <w:spacing w:after="40" w:line="240" w:lineRule="auto"/>
        <w:ind w:left="283"/>
      </w:pPr>
      <w:r>
        <w:rPr>
          <w:sz w:val="18"/>
        </w:rPr>
        <w:t>4.1 软件与资源</w:t>
        <w:tab/>
        <w:t>10</w:t>
      </w:r>
    </w:p>
    <w:p>
      <w:pPr>
        <w:keepNext w:val="0"/>
        <w:tabs>
          <w:tab w:pos="8957" w:val="right" w:leader="dot"/>
        </w:tabs>
        <w:spacing w:after="40" w:line="240" w:lineRule="auto"/>
        <w:ind w:left="283"/>
      </w:pPr>
      <w:r>
        <w:rPr>
          <w:sz w:val="18"/>
        </w:rPr>
        <w:t>4.2 环境建立与调试过程</w:t>
        <w:tab/>
        <w:t>10</w:t>
      </w:r>
    </w:p>
    <w:p>
      <w:pPr>
        <w:keepNext w:val="0"/>
        <w:tabs>
          <w:tab w:pos="8957" w:val="right" w:leader="dot"/>
        </w:tabs>
        <w:spacing w:after="40" w:line="240" w:lineRule="auto"/>
        <w:ind w:left="283"/>
      </w:pPr>
      <w:r>
        <w:rPr>
          <w:sz w:val="18"/>
        </w:rPr>
        <w:t>4.3 LM操作步骤</w:t>
        <w:tab/>
        <w:t>11</w:t>
      </w:r>
    </w:p>
    <w:p>
      <w:pPr>
        <w:keepNext w:val="0"/>
        <w:tabs>
          <w:tab w:pos="8957" w:val="right" w:leader="dot"/>
        </w:tabs>
        <w:spacing w:after="40" w:line="240" w:lineRule="auto"/>
        <w:ind w:left="283"/>
      </w:pPr>
      <w:r>
        <w:rPr>
          <w:sz w:val="18"/>
        </w:rPr>
        <w:t>4.4 HSC共同准备与对照操作</w:t>
        <w:tab/>
        <w:t>11</w:t>
      </w:r>
    </w:p>
    <w:p>
      <w:pPr>
        <w:keepNext w:val="0"/>
        <w:tabs>
          <w:tab w:pos="8957" w:val="right" w:leader="dot"/>
        </w:tabs>
        <w:spacing w:after="40" w:line="240" w:lineRule="auto"/>
        <w:ind w:left="0"/>
      </w:pPr>
      <w:r>
        <w:rPr>
          <w:sz w:val="18"/>
        </w:rPr>
        <w:t>5 代码结构与关键实现分析</w:t>
        <w:tab/>
        <w:t>12</w:t>
      </w:r>
    </w:p>
    <w:p>
      <w:pPr>
        <w:keepNext w:val="0"/>
        <w:tabs>
          <w:tab w:pos="8957" w:val="right" w:leader="dot"/>
        </w:tabs>
        <w:spacing w:after="40" w:line="240" w:lineRule="auto"/>
        <w:ind w:left="283"/>
      </w:pPr>
      <w:r>
        <w:rPr>
          <w:sz w:val="18"/>
        </w:rPr>
        <w:t>5.1 入口、配置与数据检查</w:t>
        <w:tab/>
        <w:t>12</w:t>
      </w:r>
    </w:p>
    <w:p>
      <w:pPr>
        <w:keepNext w:val="0"/>
        <w:tabs>
          <w:tab w:pos="8957" w:val="right" w:leader="dot"/>
        </w:tabs>
        <w:spacing w:after="40" w:line="240" w:lineRule="auto"/>
        <w:ind w:left="283"/>
      </w:pPr>
      <w:r>
        <w:rPr>
          <w:sz w:val="18"/>
        </w:rPr>
        <w:t>5.2 特征选择</w:t>
        <w:tab/>
        <w:t>12</w:t>
      </w:r>
    </w:p>
    <w:p>
      <w:pPr>
        <w:keepNext w:val="0"/>
        <w:tabs>
          <w:tab w:pos="8957" w:val="right" w:leader="dot"/>
        </w:tabs>
        <w:spacing w:after="40" w:line="240" w:lineRule="auto"/>
        <w:ind w:left="283"/>
      </w:pPr>
      <w:r>
        <w:rPr>
          <w:sz w:val="18"/>
        </w:rPr>
        <w:t>5.3 CA与方向聚类</w:t>
        <w:tab/>
        <w:t>13</w:t>
      </w:r>
    </w:p>
    <w:p>
      <w:pPr>
        <w:keepNext w:val="0"/>
        <w:tabs>
          <w:tab w:pos="8957" w:val="right" w:leader="dot"/>
        </w:tabs>
        <w:spacing w:after="40" w:line="240" w:lineRule="auto"/>
        <w:ind w:left="283"/>
      </w:pPr>
      <w:r>
        <w:rPr>
          <w:sz w:val="18"/>
        </w:rPr>
        <w:t>5.4 完整基因导出与排名</w:t>
        <w:tab/>
        <w:t>13</w:t>
      </w:r>
    </w:p>
    <w:p>
      <w:pPr>
        <w:keepNext w:val="0"/>
        <w:tabs>
          <w:tab w:pos="8957" w:val="right" w:leader="dot"/>
        </w:tabs>
        <w:spacing w:after="40" w:line="240" w:lineRule="auto"/>
        <w:ind w:left="283"/>
      </w:pPr>
      <w:r>
        <w:rPr>
          <w:sz w:val="18"/>
        </w:rPr>
        <w:t>5.5 自动注释与参考评价</w:t>
        <w:tab/>
        <w:t>13</w:t>
      </w:r>
    </w:p>
    <w:p>
      <w:pPr>
        <w:keepNext w:val="0"/>
        <w:tabs>
          <w:tab w:pos="8957" w:val="right" w:leader="dot"/>
        </w:tabs>
        <w:spacing w:after="40" w:line="240" w:lineRule="auto"/>
        <w:ind w:left="283"/>
      </w:pPr>
      <w:r>
        <w:rPr>
          <w:sz w:val="18"/>
        </w:rPr>
        <w:t>5.6 HSC基线与共同输入</w:t>
        <w:tab/>
        <w:t>14</w:t>
      </w:r>
    </w:p>
    <w:p>
      <w:pPr>
        <w:keepNext w:val="0"/>
        <w:tabs>
          <w:tab w:pos="8957" w:val="right" w:leader="dot"/>
        </w:tabs>
        <w:spacing w:after="40" w:line="240" w:lineRule="auto"/>
        <w:ind w:left="0"/>
      </w:pPr>
      <w:r>
        <w:rPr>
          <w:sz w:val="18"/>
        </w:rPr>
        <w:t>6 LM实验结果与分析</w:t>
        <w:tab/>
        <w:t>14</w:t>
      </w:r>
    </w:p>
    <w:p>
      <w:pPr>
        <w:keepNext w:val="0"/>
        <w:tabs>
          <w:tab w:pos="8957" w:val="right" w:leader="dot"/>
        </w:tabs>
        <w:spacing w:after="40" w:line="240" w:lineRule="auto"/>
        <w:ind w:left="283"/>
      </w:pPr>
      <w:r>
        <w:rPr>
          <w:sz w:val="18"/>
        </w:rPr>
        <w:t>6.1 总体结果及作者公开输出对照</w:t>
        <w:tab/>
        <w:t>14</w:t>
      </w:r>
    </w:p>
    <w:p>
      <w:pPr>
        <w:keepNext w:val="0"/>
        <w:tabs>
          <w:tab w:pos="8957" w:val="right" w:leader="dot"/>
        </w:tabs>
        <w:spacing w:after="40" w:line="240" w:lineRule="auto"/>
        <w:ind w:left="283"/>
      </w:pPr>
      <w:r>
        <w:rPr>
          <w:sz w:val="18"/>
        </w:rPr>
        <w:t>6.2 Fig3A：细胞与基因联合显示</w:t>
        <w:tab/>
        <w:t>15</w:t>
      </w:r>
    </w:p>
    <w:p>
      <w:pPr>
        <w:keepNext w:val="0"/>
        <w:tabs>
          <w:tab w:pos="8957" w:val="right" w:leader="dot"/>
        </w:tabs>
        <w:spacing w:after="40" w:line="240" w:lineRule="auto"/>
        <w:ind w:left="283"/>
      </w:pPr>
      <w:r>
        <w:rPr>
          <w:sz w:val="18"/>
        </w:rPr>
        <w:t>6.3 Fig3B/C：免疫与内皮方向</w:t>
        <w:tab/>
        <w:t>15</w:t>
      </w:r>
    </w:p>
    <w:p>
      <w:pPr>
        <w:keepNext w:val="0"/>
        <w:tabs>
          <w:tab w:pos="8957" w:val="right" w:leader="dot"/>
        </w:tabs>
        <w:spacing w:after="40" w:line="240" w:lineRule="auto"/>
        <w:ind w:left="283"/>
      </w:pPr>
      <w:r>
        <w:rPr>
          <w:sz w:val="18"/>
        </w:rPr>
        <w:t>6.4 Fig3D：实际拆分合并过程</w:t>
        <w:tab/>
        <w:t>17</w:t>
      </w:r>
    </w:p>
    <w:p>
      <w:pPr>
        <w:keepNext w:val="0"/>
        <w:tabs>
          <w:tab w:pos="8957" w:val="right" w:leader="dot"/>
        </w:tabs>
        <w:spacing w:after="40" w:line="240" w:lineRule="auto"/>
        <w:ind w:left="283"/>
      </w:pPr>
      <w:r>
        <w:rPr>
          <w:sz w:val="18"/>
        </w:rPr>
        <w:t>6.5 S1A/B：全部方向的定量关系</w:t>
        <w:tab/>
        <w:t>17</w:t>
      </w:r>
    </w:p>
    <w:p>
      <w:pPr>
        <w:keepNext w:val="0"/>
        <w:tabs>
          <w:tab w:pos="8957" w:val="right" w:leader="dot"/>
        </w:tabs>
        <w:spacing w:after="40" w:line="240" w:lineRule="auto"/>
        <w:ind w:left="283"/>
      </w:pPr>
      <w:r>
        <w:rPr>
          <w:sz w:val="18"/>
        </w:rPr>
        <w:t>6.6 S1C：预测分区与参考标签</w:t>
        <w:tab/>
        <w:t>19</w:t>
      </w:r>
    </w:p>
    <w:p>
      <w:pPr>
        <w:keepNext w:val="0"/>
        <w:tabs>
          <w:tab w:pos="8957" w:val="right" w:leader="dot"/>
        </w:tabs>
        <w:spacing w:after="40" w:line="240" w:lineRule="auto"/>
        <w:ind w:left="283"/>
      </w:pPr>
      <w:r>
        <w:rPr>
          <w:sz w:val="18"/>
        </w:rPr>
        <w:t>6.7 S1D/E：标准坐标与主坐标</w:t>
        <w:tab/>
        <w:t>20</w:t>
      </w:r>
    </w:p>
    <w:p>
      <w:pPr>
        <w:keepNext w:val="0"/>
        <w:tabs>
          <w:tab w:pos="8957" w:val="right" w:leader="dot"/>
        </w:tabs>
        <w:spacing w:after="40" w:line="240" w:lineRule="auto"/>
        <w:ind w:left="283"/>
      </w:pPr>
      <w:r>
        <w:rPr>
          <w:sz w:val="18"/>
        </w:rPr>
        <w:t>6.8 资源记录与数值检查</w:t>
        <w:tab/>
        <w:t>22</w:t>
      </w:r>
    </w:p>
    <w:p>
      <w:pPr>
        <w:keepNext w:val="0"/>
        <w:tabs>
          <w:tab w:pos="8957" w:val="right" w:leader="dot"/>
        </w:tabs>
        <w:spacing w:after="40" w:line="240" w:lineRule="auto"/>
        <w:ind w:left="0"/>
      </w:pPr>
      <w:r>
        <w:rPr>
          <w:sz w:val="18"/>
        </w:rPr>
        <w:t>7 HSC新数据对照结果</w:t>
        <w:tab/>
        <w:t>22</w:t>
      </w:r>
    </w:p>
    <w:p>
      <w:pPr>
        <w:keepNext w:val="0"/>
        <w:tabs>
          <w:tab w:pos="8957" w:val="right" w:leader="dot"/>
        </w:tabs>
        <w:spacing w:after="40" w:line="240" w:lineRule="auto"/>
        <w:ind w:left="283"/>
      </w:pPr>
      <w:r>
        <w:rPr>
          <w:sz w:val="18"/>
        </w:rPr>
        <w:t>7.1 共同队列与比较设计</w:t>
        <w:tab/>
        <w:t>22</w:t>
      </w:r>
    </w:p>
    <w:p>
      <w:pPr>
        <w:keepNext w:val="0"/>
        <w:tabs>
          <w:tab w:pos="8957" w:val="right" w:leader="dot"/>
        </w:tabs>
        <w:spacing w:after="40" w:line="240" w:lineRule="auto"/>
        <w:ind w:left="283"/>
      </w:pPr>
      <w:r>
        <w:rPr>
          <w:sz w:val="18"/>
        </w:rPr>
        <w:t>7.2 全部种子的指标</w:t>
        <w:tab/>
        <w:t>22</w:t>
      </w:r>
    </w:p>
    <w:p>
      <w:pPr>
        <w:keepNext w:val="0"/>
        <w:tabs>
          <w:tab w:pos="8957" w:val="right" w:leader="dot"/>
        </w:tabs>
        <w:spacing w:after="40" w:line="240" w:lineRule="auto"/>
        <w:ind w:left="283"/>
      </w:pPr>
      <w:r>
        <w:rPr>
          <w:sz w:val="18"/>
        </w:rPr>
        <w:t>7.3 结果解释</w:t>
        <w:tab/>
        <w:t>24</w:t>
      </w:r>
    </w:p>
    <w:p>
      <w:pPr>
        <w:keepNext w:val="0"/>
        <w:tabs>
          <w:tab w:pos="8957" w:val="right" w:leader="dot"/>
        </w:tabs>
        <w:spacing w:after="40" w:line="240" w:lineRule="auto"/>
        <w:ind w:left="0"/>
      </w:pPr>
      <w:r>
        <w:rPr>
          <w:sz w:val="18"/>
        </w:rPr>
        <w:t>8 综合讨论与实验体会</w:t>
        <w:tab/>
        <w:t>25</w:t>
      </w:r>
    </w:p>
    <w:p>
      <w:pPr>
        <w:keepNext w:val="0"/>
        <w:tabs>
          <w:tab w:pos="8957" w:val="right" w:leader="dot"/>
        </w:tabs>
        <w:spacing w:after="40" w:line="240" w:lineRule="auto"/>
        <w:ind w:left="283"/>
      </w:pPr>
      <w:r>
        <w:rPr>
          <w:sz w:val="18"/>
        </w:rPr>
        <w:t>8.1 原论文案例与新数据之间的联系</w:t>
        <w:tab/>
        <w:t>25</w:t>
      </w:r>
    </w:p>
    <w:p>
      <w:pPr>
        <w:keepNext w:val="0"/>
        <w:tabs>
          <w:tab w:pos="8957" w:val="right" w:leader="dot"/>
        </w:tabs>
        <w:spacing w:after="40" w:line="240" w:lineRule="auto"/>
        <w:ind w:left="283"/>
      </w:pPr>
      <w:r>
        <w:rPr>
          <w:sz w:val="18"/>
        </w:rPr>
        <w:t>8.2 联合聚类的解释价值</w:t>
        <w:tab/>
        <w:t>25</w:t>
      </w:r>
    </w:p>
    <w:p>
      <w:pPr>
        <w:keepNext w:val="0"/>
        <w:tabs>
          <w:tab w:pos="8957" w:val="right" w:leader="dot"/>
        </w:tabs>
        <w:spacing w:after="40" w:line="240" w:lineRule="auto"/>
        <w:ind w:left="283"/>
      </w:pPr>
      <w:r>
        <w:rPr>
          <w:sz w:val="18"/>
        </w:rPr>
        <w:t>8.3 指标与可视化的互补</w:t>
        <w:tab/>
        <w:t>26</w:t>
      </w:r>
    </w:p>
    <w:p>
      <w:pPr>
        <w:keepNext w:val="0"/>
        <w:tabs>
          <w:tab w:pos="8957" w:val="right" w:leader="dot"/>
        </w:tabs>
        <w:spacing w:after="40" w:line="240" w:lineRule="auto"/>
        <w:ind w:left="283"/>
      </w:pPr>
      <w:r>
        <w:rPr>
          <w:sz w:val="18"/>
        </w:rPr>
        <w:t>8.4 可重复计算与调试经验</w:t>
        <w:tab/>
        <w:t>26</w:t>
      </w:r>
    </w:p>
    <w:p>
      <w:pPr>
        <w:keepNext w:val="0"/>
        <w:tabs>
          <w:tab w:pos="8957" w:val="right" w:leader="dot"/>
        </w:tabs>
        <w:spacing w:after="40" w:line="240" w:lineRule="auto"/>
        <w:ind w:left="0"/>
      </w:pPr>
      <w:r>
        <w:rPr>
          <w:sz w:val="18"/>
        </w:rPr>
        <w:t>9 结论</w:t>
        <w:tab/>
        <w:t>26</w:t>
      </w:r>
    </w:p>
    <w:p>
      <w:pPr>
        <w:keepNext w:val="0"/>
        <w:tabs>
          <w:tab w:pos="8957" w:val="right" w:leader="dot"/>
        </w:tabs>
        <w:spacing w:after="40" w:line="240" w:lineRule="auto"/>
        <w:ind w:left="0"/>
      </w:pPr>
      <w:r>
        <w:rPr>
          <w:sz w:val="18"/>
        </w:rPr>
        <w:t>参考文献</w:t>
        <w:tab/>
        <w:t>26</w:t>
      </w:r>
    </w:p>
    <w:p>
      <w:pPr>
        <w:keepNext w:val="0"/>
        <w:tabs>
          <w:tab w:pos="8957" w:val="right" w:leader="dot"/>
        </w:tabs>
        <w:spacing w:after="40" w:line="240" w:lineRule="auto"/>
        <w:ind w:left="0"/>
      </w:pPr>
      <w:r>
        <w:rPr>
          <w:sz w:val="18"/>
        </w:rPr>
        <w:t>附录A 源码、数据与固定成果</w:t>
        <w:tab/>
        <w:t>27</w:t>
      </w:r>
    </w:p>
    <w:p>
      <w:pPr>
        <w:keepNext w:val="0"/>
        <w:tabs>
          <w:tab w:pos="8957" w:val="right" w:leader="dot"/>
        </w:tabs>
        <w:spacing w:after="40" w:line="240" w:lineRule="auto"/>
        <w:ind w:left="283"/>
      </w:pPr>
      <w:r>
        <w:rPr>
          <w:sz w:val="18"/>
        </w:rPr>
        <w:t>A.1 源码地址</w:t>
        <w:tab/>
        <w:t>27</w:t>
      </w:r>
    </w:p>
    <w:p>
      <w:pPr>
        <w:keepNext w:val="0"/>
        <w:tabs>
          <w:tab w:pos="8957" w:val="right" w:leader="dot"/>
        </w:tabs>
        <w:spacing w:after="40" w:line="240" w:lineRule="auto"/>
        <w:ind w:left="283"/>
      </w:pPr>
      <w:r>
        <w:rPr>
          <w:sz w:val="18"/>
        </w:rPr>
        <w:t>A.2 数据地址</w:t>
        <w:tab/>
        <w:t>27</w:t>
      </w:r>
    </w:p>
    <w:p>
      <w:pPr>
        <w:keepNext w:val="0"/>
        <w:tabs>
          <w:tab w:pos="8957" w:val="right" w:leader="dot"/>
        </w:tabs>
        <w:spacing w:after="40" w:line="240" w:lineRule="auto"/>
        <w:ind w:left="283"/>
      </w:pPr>
      <w:r>
        <w:rPr>
          <w:sz w:val="18"/>
        </w:rPr>
        <w:t>A.3 固定成果与独立检查</w:t>
        <w:tab/>
        <w:t>27</w:t>
      </w:r>
    </w:p>
    <w:p>
      <w:pPr>
        <w:keepNext w:val="0"/>
        <w:tabs>
          <w:tab w:pos="8957" w:val="right" w:leader="dot"/>
        </w:tabs>
        <w:spacing w:after="40" w:line="240" w:lineRule="auto"/>
        <w:ind w:left="0"/>
      </w:pPr>
      <w:r>
        <w:rPr>
          <w:sz w:val="18"/>
        </w:rPr>
        <w:t>附录B 代码与输出索引</w:t>
        <w:tab/>
        <w:t>28</w:t>
      </w:r>
    </w:p>
    <w:p>
      <w:pPr>
        <w:keepNext w:val="0"/>
        <w:tabs>
          <w:tab w:pos="8957" w:val="right" w:leader="dot"/>
        </w:tabs>
        <w:spacing w:after="40" w:line="240" w:lineRule="auto"/>
        <w:ind w:left="0"/>
      </w:pPr>
      <w:r>
        <w:rPr>
          <w:sz w:val="18"/>
        </w:rPr>
        <w:t>附录C 工作记录表</w:t>
        <w:tab/>
        <w:t>28</w:t>
      </w:r>
    </w:p>
    <w:p>
      <w:pPr>
        <w:keepNext w:val="0"/>
        <w:tabs>
          <w:tab w:pos="8957" w:val="right" w:leader="dot"/>
        </w:tabs>
        <w:spacing w:after="40" w:line="240" w:lineRule="auto"/>
        <w:ind w:left="0"/>
      </w:pPr>
      <w:r>
        <w:rPr>
          <w:sz w:val="18"/>
        </w:rPr>
        <w:t>Background</w:t>
        <w:tab/>
        <w:t>29</w:t>
      </w:r>
    </w:p>
    <w:bookmarkStart w:id="20" w:name="摘要"/>
    <w:p>
      <w:pPr>
        <w:pStyle w:val="Heading1"/>
        <w:pageBreakBefore/>
      </w:pPr>
      <w:r>
        <w:t xml:space="preserve">摘要</w:t>
      </w:r>
    </w:p>
    <w:p>
      <w:pPr>
        <w:pStyle w:val="FirstParagraph"/>
      </w:pPr>
      <w:r>
        <w:t xml:space="preserve">单细胞转录组聚类需要同时解释细胞分组及其关联基因。本文复现CAdir基于对应分析与方向聚类的计算流程，在Tabula Muris Limb Muscle（LM）数据上实现原论文Fig3 A–D和关联S1 A–E，并在Nestorowa造血干／祖细胞（HSC/HSPC）数据上开展新数据对照实验。LM输入包含13204个基因和1882个细胞，使用既有对数归一化表达，选择6000个高变基因，计算30维对应分析，以初始簇数8、方向角阈值55°和随机种子2358执行CAdir。结果得到7个细胞簇及1200个已分配基因，调整兰德指数为0.669519，最大熵归一化互信息为0.741885。细胞数、已分配基因数、最终簇数、全部逐簇汇总及可见拆分合并日志与作者公开运行记录一致，调整兰德指数在作者显示精度下一致。九项分析包括关联图、方向比较、拆分合并历史、方向角矩阵、参考标签流量及坐标转换。新数据实验采用统一质量控制、归一化和6000个高变基因，保留1656个细胞，在1641个具有参考标签的细胞上评价CAdir和主成分分析＋共享近邻图＋Louvain两种流程。两种方法各运行五个预定种子，全部成功。CAdir的调整兰德指数中位数为0.291506，基线为0.269345；归一化互信息中位数分别为0.343414和0.356464。结果表明，在本次HSC配置下，两种评价指标呈现不同的相对排序；CAdir还提供了细胞与基因的联合分组、基因排名和方向诊断。本文结合数学表达、实际代码、运行命令、真实图表和独立数值复核，对上述结果进行解释。</w:t>
      </w:r>
    </w:p>
    <w:p>
      <w:pPr>
        <w:pStyle w:val="BodyText"/>
      </w:pPr>
      <w:r>
        <w:rPr>
          <w:b/>
          <w:bCs/>
        </w:rPr>
        <w:t xml:space="preserve">关键词：</w:t>
      </w:r>
      <w:r>
        <w:t xml:space="preserve"> </w:t>
      </w:r>
      <w:r>
        <w:t xml:space="preserve">单细胞转录组；对应分析；方向聚类；联合聚类；可重复计算；聚类评价</w:t>
      </w:r>
    </w:p>
    <w:bookmarkEnd w:id="20"/>
    <w:bookmarkStart w:id="21" w:name="abstract"/>
    <w:p>
      <w:pPr>
        <w:pStyle w:val="Heading1"/>
      </w:pPr>
      <w:r>
        <w:t xml:space="preserve">Abstract</w:t>
      </w:r>
    </w:p>
    <w:p>
      <w:pPr>
        <w:pStyle w:val="FirstParagraph"/>
      </w:pPr>
      <w:r>
        <w:rPr>
          <w:b/>
          <w:bCs/>
        </w:rPr>
        <w:t xml:space="preserve">Reproduction of CAdir Joint Clustering for Single-Cell Transcriptomics and a Comparative Experiment on a New Dataset</w:t>
      </w:r>
    </w:p>
    <w:p>
      <w:pPr>
        <w:pStyle w:val="BodyText"/>
      </w:pPr>
      <w:r>
        <w:t xml:space="preserve">Single-cell transcriptomic analysis requires both a partition of cells and an explanation of the genes associated with that partition. This report reproduces the correspondence-analysis and directional-clustering workflow of CAdir and evaluates its behavior on two mouse datasets. The original-paper case uses the Limb Muscle subset of Tabula Muris. The input contains 13,204 genes and 1,882 cells. Existing log-normalized expression values are retained, 6,000 highly variable genes are selected, and correspondence analysis provides a 30-dimensional representation. CAdir is initialized with eight directions, a cutoff angle of 55 degrees, and random seed 2358. The analysis returns seven cell clusters and 1,200 assigned genes. Against the original reference annotations, the adjusted Rand index is 0.669519 and normalized mutual information, calculated using the larger of the two entropies, is 0.741885.</w:t>
      </w:r>
    </w:p>
    <w:p>
      <w:pPr>
        <w:pStyle w:val="BodyText"/>
      </w:pPr>
      <w:r>
        <w:t xml:space="preserve">The LM analysis implements the four panels of the published Figure 3 and five associated supplementary panels. These outputs include association plots, immune and endothelial direction comparisons, an actual split-and-merge graph, pairwise direction angles, a direction projection matrix, a reference-label Sankey diagram, and comparisons between principal and standard coordinates. The published author execution record agrees with the reproduced cell count, assigned-gene count, final cluster count, all reported cluster sizes and names, and the visible split-and-merge messages. The adjusted Rand index also agrees at the precision printed by the author. Independent checks cover saved coordinates, gene scores and rankings, clustering metrics, overrepresentation analysis, annotation assignment, and graph topology.</w:t>
      </w:r>
    </w:p>
    <w:p>
      <w:pPr>
        <w:pStyle w:val="BodyText"/>
      </w:pPr>
      <w:r>
        <w:t xml:space="preserve">The extension experiment uses the Nestorowa hematopoietic stem and progenitor cell study. A common preprocessing procedure retains 1,656 cells and selects 6,000 highly variable genes. External evaluation uses the same fixed set of 1,641 cells carrying published broad immunophenotype labels. CAdir is compared with a principal-component-analysis, rank-based shared-nearest-neighbor graph, and weighted Louvain workflow. Both methods use 30-dimensional representations and the same five predefined seeds. All ten runs complete successfully. Median adjusted Rand indices are 0.291506 for CAdir and 0.269345 for the baseline. Median normalized mutual information values are 0.343414 and 0.356464, respectively. The metric ordering therefore depends on the criterion used. CAdir produces nine to eleven clusters, whereas the baseline produces seven in each run. This difference provides a concrete basis for examining how cluster granularity affects agreement with the reference partition.</w:t>
      </w:r>
    </w:p>
    <w:p>
      <w:pPr>
        <w:pStyle w:val="BodyText"/>
      </w:pPr>
      <w:r>
        <w:t xml:space="preserve">The report connects these results to mathematical definitions and executable source code. It explains correspondence-analysis coordinates, directional assignment, total-least-squares direction updates, gene selection and ranking, and reference-based evaluation. The execution procedure records exact input identifiers, configuration, source revisions, random-number states, saved analysis objects, and resource measurements. Figures are generated from the saved objects, linking each displayed result to the corresponding numerical tables. Together, the original-paper case and the new-data comparison demonstrate an interpretable analysis workflow in which clustering, associated genes, geometric diagnostics, and quantitative evaluation can be inspected as connected parts of one experiment.</w:t>
      </w:r>
    </w:p>
    <w:p>
      <w:pPr>
        <w:pStyle w:val="BodyText"/>
      </w:pPr>
      <w:r>
        <w:rPr>
          <w:b/>
          <w:bCs/>
        </w:rPr>
        <w:t xml:space="preserve">Key words:</w:t>
      </w:r>
      <w:r>
        <w:t xml:space="preserve"> </w:t>
      </w:r>
      <w:r>
        <w:t xml:space="preserve">single-cell transcriptomics; correspondence analysis; directional clustering; joint clustering; reproducible computation; clustering evaluation</w:t>
      </w:r>
    </w:p>
    <w:bookmarkEnd w:id="21"/>
    <w:bookmarkStart w:id="24" w:name="引言"/>
    <w:p>
      <w:pPr>
        <w:pStyle w:val="Heading1"/>
      </w:pPr>
      <w:r>
        <w:t xml:space="preserve">1 引言</w:t>
      </w:r>
    </w:p>
    <w:bookmarkStart w:id="22" w:name="研究背景与问题"/>
    <w:p>
      <w:pPr>
        <w:pStyle w:val="Heading2"/>
      </w:pPr>
      <w:r>
        <w:t xml:space="preserve">1.1 研究背景与问题</w:t>
      </w:r>
    </w:p>
    <w:p>
      <w:pPr>
        <w:pStyle w:val="FirstParagraph"/>
      </w:pPr>
      <w:r>
        <w:t xml:space="preserve">单细胞RNA测序以“基因×细胞”的表达矩阵记录细胞之间的转录差异。聚类的直接输出是细胞分组，而生物学解释还需要回答：哪些基因支持这些分组，组内细胞是否沿同一变化方向分布，不同簇的表达特征是否相近，初始簇数如何影响最终结果。CAdir将这些问题放在同一个几何框架中处理[1]。</w:t>
      </w:r>
    </w:p>
    <w:p>
      <w:pPr>
        <w:pStyle w:val="BodyText"/>
      </w:pPr>
      <w:r>
        <w:t xml:space="preserve">常用分析流程先对表达矩阵归一化和选择高变基因，再做主成分分析（Principal Component Analysis，PCA），在低维空间构建近邻图并进行社区划分。CAdir使用对应分析（Correspondence Analysis，CA），将细胞和基因映射到关联的低维坐标中，通过寻找从原点出发的稠密方向进行聚类，同时给出与细胞簇相关的基因。关联图把点沿方向的投影和偏离方向的距离直接显示出来，使聚类机制与结果解释相互衔接。</w:t>
      </w:r>
    </w:p>
    <w:bookmarkEnd w:id="22"/>
    <w:bookmarkStart w:id="23" w:name="实验目标"/>
    <w:p>
      <w:pPr>
        <w:pStyle w:val="Heading2"/>
      </w:pPr>
      <w:r>
        <w:t xml:space="preserve">1.2 实验目标</w:t>
      </w:r>
    </w:p>
    <w:p>
      <w:pPr>
        <w:pStyle w:val="FirstParagraph"/>
      </w:pPr>
      <w:r>
        <w:t xml:space="preserve">本文完成两组相互关联的实验。第一组以原论文LM案例为对象，重建输入检查、特征选择、CA、CAdir、基因分配、自动注释、指标计算及九项图表，分析原论文核心案例的结果。第二组以Nestorowa HSC/HSPC研究为新数据，采用共享输入比较CAdir与PCA＋SNN＋Louvain流程，观察方法迁移后的评价表现和聚类粒度。</w:t>
      </w:r>
    </w:p>
    <w:p>
      <w:pPr>
        <w:pStyle w:val="BodyText"/>
      </w:pPr>
      <w:r>
        <w:t xml:space="preserve">报告围绕三个问题展开：CAdir怎样利用方向同时联系细胞与基因；LM结果怎样与作者公开运行结果对应；在新的HSC数据上，方向聚类与图聚类呈现怎样的指标和结构差异。</w:t>
      </w:r>
    </w:p>
    <w:bookmarkEnd w:id="23"/>
    <w:bookmarkEnd w:id="24"/>
    <w:bookmarkStart w:id="28" w:name="相关工作与数据来源"/>
    <w:p>
      <w:pPr>
        <w:pStyle w:val="Heading1"/>
      </w:pPr>
      <w:r>
        <w:t xml:space="preserve">2 相关工作与数据来源</w:t>
      </w:r>
    </w:p>
    <w:bookmarkStart w:id="25" w:name="单细胞分析流程"/>
    <w:p>
      <w:pPr>
        <w:pStyle w:val="Heading2"/>
      </w:pPr>
      <w:r>
        <w:t xml:space="preserve">2.1 单细胞分析流程</w:t>
      </w:r>
    </w:p>
    <w:p>
      <w:pPr>
        <w:pStyle w:val="FirstParagraph"/>
      </w:pPr>
      <w:r>
        <w:t xml:space="preserve">Tabula Muris构建了小鼠多个组织的单细胞转录组资源[2]，其中Limb Muscle子集包含组织细胞及免疫细胞，适合观察不同细胞群之间的表达关联。本文以该组织子集作为原论文案例。</w:t>
      </w:r>
    </w:p>
    <w:p>
      <w:pPr>
        <w:pStyle w:val="BodyText"/>
      </w:pPr>
      <w:r>
        <w:t xml:space="preserve">Nestorowa等研究了小鼠造血干／祖细胞分化的单细胞表达[3]。本文采用该研究的公开数据及已发布免疫表型元数据，构建新数据对照实验。研究涉及的六类broad标签包括LTHSC、LMPP、MPP、CMP、MEP和GMP，评价标签通过明确细胞ID与发布的成员列对应。</w:t>
      </w:r>
    </w:p>
    <w:p>
      <w:pPr>
        <w:pStyle w:val="BodyText"/>
      </w:pPr>
      <w:r>
        <w:t xml:space="preserve">Bioconductor提供了表达数据容器、方差建模、降维及近邻图构建等基础设施[4]。低层单细胞分析通常包括质量控制、归一化、特征选择与降维[5]。本文用SingleCellExperiment组织表达矩阵和元数据，用scran、scuttle和scater完成相应步骤。</w:t>
      </w:r>
    </w:p>
    <w:bookmarkEnd w:id="25"/>
    <w:bookmarkStart w:id="26" w:name="对照方法与评价"/>
    <w:p>
      <w:pPr>
        <w:pStyle w:val="Heading2"/>
      </w:pPr>
      <w:r>
        <w:t xml:space="preserve">2.2 对照方法与评价</w:t>
      </w:r>
    </w:p>
    <w:p>
      <w:pPr>
        <w:pStyle w:val="FirstParagraph"/>
      </w:pPr>
      <w:r>
        <w:t xml:space="preserve">新数据对照采用PCA表示、共享近邻（Shared Nearest Neighbor，SNN）图和Louvain社区发现。Louvain通过局部节点移动与图聚合优化社区结构[6]，本文固定分辨率和邻居数执行。</w:t>
      </w:r>
    </w:p>
    <w:p>
      <w:pPr>
        <w:pStyle w:val="BodyText"/>
      </w:pPr>
      <w:r>
        <w:t xml:space="preserve">调整兰德指数（Adjusted Rand Index，ARI）从细胞对的一致分组出发，并校正随机一致性[7]。归一化互信息（Normalized Mutual Information，NMI）衡量两个分区共享的信息。本文同时报告ARI和最大熵归一化NMI，以呈现两种评价角度。</w:t>
      </w:r>
    </w:p>
    <w:bookmarkEnd w:id="26"/>
    <w:bookmarkStart w:id="27" w:name="数据规模与实验入口"/>
    <w:p>
      <w:pPr>
        <w:pStyle w:val="Heading2"/>
      </w:pPr>
      <w:r>
        <w:t xml:space="preserve">2.3 数据规模与实验入口</w:t>
      </w:r>
    </w:p>
    <w:tbl>
      <w:tblPr>
        <w:tblStyle w:val="Table"/>
        <w:tblW w:type="pct" w:w="5000"/>
        <w:jc w:val="left"/>
        <w:tblLayout w:type="fixed"/>
        <w:tblLook w:firstRow="1" w:lastRow="0" w:firstColumn="0" w:lastColumn="0" w:noHBand="0" w:noVBand="0" w:val="0020"/>
      </w:tblPr>
      <w:tblGrid>
        <w:gridCol w:w="3024"/>
        <w:gridCol w:w="3024"/>
        <w:gridCol w:w="3024"/>
      </w:tblGrid>
      <w:tr>
        <w:trPr>
          <w:tblHeader w:val="on"/>
          <w:cantSplit/>
          <w:tblHeader/>
        </w:trPr>
        <w:tc>
          <w:tcPr/>
          <w:p>
            <w:pPr>
              <w:pStyle w:val="Compact"/>
              <w:spacing w:after="40" w:line="264" w:lineRule="auto"/>
              <w:jc w:val="left"/>
            </w:pPr>
            <w:r>
              <w:rPr>
                <w:sz w:val="17"/>
              </w:rPr>
              <w:t xml:space="preserve">项目</w:t>
            </w:r>
          </w:p>
        </w:tc>
        <w:tc>
          <w:tcPr/>
          <w:p>
            <w:pPr>
              <w:pStyle w:val="Compact"/>
              <w:spacing w:after="40" w:line="264" w:lineRule="auto"/>
              <w:jc w:val="left"/>
            </w:pPr>
            <w:r>
              <w:rPr>
                <w:sz w:val="17"/>
              </w:rPr>
              <w:t xml:space="preserve">LM原论文案例</w:t>
            </w:r>
          </w:p>
        </w:tc>
        <w:tc>
          <w:tcPr/>
          <w:p>
            <w:pPr>
              <w:pStyle w:val="Compact"/>
              <w:spacing w:after="40" w:line="264" w:lineRule="auto"/>
              <w:jc w:val="left"/>
            </w:pPr>
            <w:r>
              <w:rPr>
                <w:sz w:val="17"/>
              </w:rPr>
              <w:t xml:space="preserve">HSC新数据实验</w:t>
            </w:r>
          </w:p>
        </w:tc>
      </w:tr>
      <w:tr>
        <w:trPr>
          <w:cantSplit/>
        </w:trPr>
        <w:tc>
          <w:tcPr/>
          <w:p>
            <w:pPr>
              <w:pStyle w:val="Compact"/>
              <w:spacing w:after="40" w:line="264" w:lineRule="auto"/>
              <w:jc w:val="left"/>
            </w:pPr>
            <w:r>
              <w:rPr>
                <w:sz w:val="17"/>
              </w:rPr>
              <w:t xml:space="preserve">数据研究</w:t>
            </w:r>
          </w:p>
        </w:tc>
        <w:tc>
          <w:tcPr/>
          <w:p>
            <w:pPr>
              <w:pStyle w:val="Compact"/>
              <w:spacing w:after="40" w:line="264" w:lineRule="auto"/>
              <w:jc w:val="left"/>
            </w:pPr>
            <w:r>
              <w:rPr>
                <w:sz w:val="17"/>
              </w:rPr>
              <w:t xml:space="preserve">Tabula Muris Limb Muscle</w:t>
            </w:r>
          </w:p>
        </w:tc>
        <w:tc>
          <w:tcPr/>
          <w:p>
            <w:pPr>
              <w:pStyle w:val="Compact"/>
              <w:spacing w:after="40" w:line="264" w:lineRule="auto"/>
              <w:jc w:val="left"/>
            </w:pPr>
            <w:r>
              <w:rPr>
                <w:sz w:val="17"/>
              </w:rPr>
              <w:t xml:space="preserve">Nestorowa HSC/HSPC</w:t>
            </w:r>
          </w:p>
        </w:tc>
      </w:tr>
      <w:tr>
        <w:trPr>
          <w:cantSplit/>
        </w:trPr>
        <w:tc>
          <w:tcPr/>
          <w:p>
            <w:pPr>
              <w:pStyle w:val="Compact"/>
              <w:spacing w:after="40" w:line="264" w:lineRule="auto"/>
              <w:jc w:val="left"/>
            </w:pPr>
            <w:r>
              <w:rPr>
                <w:sz w:val="17"/>
              </w:rPr>
              <w:t xml:space="preserve">公共数据入口</w:t>
            </w:r>
          </w:p>
        </w:tc>
        <w:tc>
          <w:tcPr/>
          <w:p>
            <w:pPr>
              <w:pStyle w:val="Compact"/>
              <w:spacing w:after="40" w:line="264" w:lineRule="auto"/>
              <w:jc w:val="left"/>
            </w:pPr>
            <w:r>
              <w:rPr>
                <w:sz w:val="17"/>
              </w:rPr>
              <w:t xml:space="preserve">GEO GSE109774、TabulaMurisData</w:t>
            </w:r>
          </w:p>
        </w:tc>
        <w:tc>
          <w:tcPr/>
          <w:p>
            <w:pPr>
              <w:pStyle w:val="Compact"/>
              <w:spacing w:after="40" w:line="264" w:lineRule="auto"/>
              <w:jc w:val="left"/>
            </w:pPr>
            <w:r>
              <w:rPr>
                <w:sz w:val="17"/>
              </w:rPr>
              <w:t xml:space="preserve">GEO GSE81682、scRNAseq legacy资源</w:t>
            </w:r>
          </w:p>
        </w:tc>
      </w:tr>
      <w:tr>
        <w:trPr>
          <w:cantSplit/>
        </w:trPr>
        <w:tc>
          <w:tcPr/>
          <w:p>
            <w:pPr>
              <w:pStyle w:val="Compact"/>
              <w:spacing w:after="40" w:line="264" w:lineRule="auto"/>
              <w:jc w:val="left"/>
            </w:pPr>
            <w:r>
              <w:rPr>
                <w:sz w:val="17"/>
              </w:rPr>
              <w:t xml:space="preserve">起始对象</w:t>
            </w:r>
          </w:p>
        </w:tc>
        <w:tc>
          <w:tcPr/>
          <w:p>
            <w:pPr>
              <w:pStyle w:val="Compact"/>
              <w:spacing w:after="40" w:line="264" w:lineRule="auto"/>
              <w:jc w:val="left"/>
            </w:pPr>
            <w:r>
              <w:rPr>
                <w:sz w:val="17"/>
              </w:rPr>
              <w:t xml:space="preserve">13204基因×1882细胞</w:t>
            </w:r>
          </w:p>
        </w:tc>
        <w:tc>
          <w:tcPr/>
          <w:p>
            <w:pPr>
              <w:pStyle w:val="Compact"/>
              <w:spacing w:after="40" w:line="264" w:lineRule="auto"/>
              <w:jc w:val="left"/>
            </w:pPr>
            <w:r>
              <w:rPr>
                <w:sz w:val="17"/>
              </w:rPr>
              <w:t xml:space="preserve">46175行×1920细胞</w:t>
            </w:r>
          </w:p>
        </w:tc>
      </w:tr>
      <w:tr>
        <w:trPr>
          <w:cantSplit/>
        </w:trPr>
        <w:tc>
          <w:tcPr/>
          <w:p>
            <w:pPr>
              <w:pStyle w:val="Compact"/>
              <w:spacing w:after="40" w:line="264" w:lineRule="auto"/>
              <w:jc w:val="left"/>
            </w:pPr>
            <w:r>
              <w:rPr>
                <w:sz w:val="17"/>
              </w:rPr>
              <w:t xml:space="preserve">实际聚类细胞</w:t>
            </w:r>
          </w:p>
        </w:tc>
        <w:tc>
          <w:tcPr/>
          <w:p>
            <w:pPr>
              <w:pStyle w:val="Compact"/>
              <w:spacing w:after="40" w:line="264" w:lineRule="auto"/>
              <w:jc w:val="left"/>
            </w:pPr>
            <w:r>
              <w:rPr>
                <w:sz w:val="17"/>
              </w:rPr>
              <w:t xml:space="preserve">1882</w:t>
            </w:r>
          </w:p>
        </w:tc>
        <w:tc>
          <w:tcPr/>
          <w:p>
            <w:pPr>
              <w:pStyle w:val="Compact"/>
              <w:spacing w:after="40" w:line="264" w:lineRule="auto"/>
              <w:jc w:val="left"/>
            </w:pPr>
            <w:r>
              <w:rPr>
                <w:sz w:val="17"/>
              </w:rPr>
              <w:t xml:space="preserve">1656</w:t>
            </w:r>
          </w:p>
        </w:tc>
      </w:tr>
      <w:tr>
        <w:trPr>
          <w:cantSplit/>
        </w:trPr>
        <w:tc>
          <w:tcPr/>
          <w:p>
            <w:pPr>
              <w:pStyle w:val="Compact"/>
              <w:spacing w:after="40" w:line="264" w:lineRule="auto"/>
              <w:jc w:val="left"/>
            </w:pPr>
            <w:r>
              <w:rPr>
                <w:sz w:val="17"/>
              </w:rPr>
              <w:t xml:space="preserve">实际评价细胞</w:t>
            </w:r>
          </w:p>
        </w:tc>
        <w:tc>
          <w:tcPr/>
          <w:p>
            <w:pPr>
              <w:pStyle w:val="Compact"/>
              <w:spacing w:after="40" w:line="264" w:lineRule="auto"/>
              <w:jc w:val="left"/>
            </w:pPr>
            <w:r>
              <w:rPr>
                <w:sz w:val="17"/>
              </w:rPr>
              <w:t xml:space="preserve">1882</w:t>
            </w:r>
          </w:p>
        </w:tc>
        <w:tc>
          <w:tcPr/>
          <w:p>
            <w:pPr>
              <w:pStyle w:val="Compact"/>
              <w:spacing w:after="40" w:line="264" w:lineRule="auto"/>
              <w:jc w:val="left"/>
            </w:pPr>
            <w:r>
              <w:rPr>
                <w:sz w:val="17"/>
              </w:rPr>
              <w:t xml:space="preserve">1641</w:t>
            </w:r>
          </w:p>
        </w:tc>
      </w:tr>
      <w:tr>
        <w:trPr>
          <w:cantSplit/>
        </w:trPr>
        <w:tc>
          <w:tcPr/>
          <w:p>
            <w:pPr>
              <w:pStyle w:val="Compact"/>
              <w:spacing w:after="40" w:line="264" w:lineRule="auto"/>
              <w:jc w:val="left"/>
            </w:pPr>
            <w:r>
              <w:rPr>
                <w:sz w:val="17"/>
              </w:rPr>
              <w:t xml:space="preserve">CA／PCA输入特征</w:t>
            </w:r>
          </w:p>
        </w:tc>
        <w:tc>
          <w:tcPr/>
          <w:p>
            <w:pPr>
              <w:pStyle w:val="Compact"/>
              <w:spacing w:after="40" w:line="264" w:lineRule="auto"/>
              <w:jc w:val="left"/>
            </w:pPr>
            <w:r>
              <w:rPr>
                <w:sz w:val="17"/>
              </w:rPr>
              <w:t xml:space="preserve">6000个高变基因</w:t>
            </w:r>
          </w:p>
        </w:tc>
        <w:tc>
          <w:tcPr/>
          <w:p>
            <w:pPr>
              <w:pStyle w:val="Compact"/>
              <w:spacing w:after="40" w:line="264" w:lineRule="auto"/>
              <w:jc w:val="left"/>
            </w:pPr>
            <w:r>
              <w:rPr>
                <w:sz w:val="17"/>
              </w:rPr>
              <w:t xml:space="preserve">两方法共享6000个高变基因</w:t>
            </w:r>
          </w:p>
        </w:tc>
      </w:tr>
      <w:tr>
        <w:trPr>
          <w:cantSplit/>
        </w:trPr>
        <w:tc>
          <w:tcPr/>
          <w:p>
            <w:pPr>
              <w:pStyle w:val="Compact"/>
              <w:spacing w:after="40" w:line="264" w:lineRule="auto"/>
              <w:jc w:val="left"/>
            </w:pPr>
            <w:r>
              <w:rPr>
                <w:sz w:val="17"/>
              </w:rPr>
              <w:t xml:space="preserve">参考信息</w:t>
            </w:r>
          </w:p>
        </w:tc>
        <w:tc>
          <w:tcPr/>
          <w:p>
            <w:pPr>
              <w:pStyle w:val="Compact"/>
              <w:spacing w:after="40" w:line="264" w:lineRule="auto"/>
              <w:jc w:val="left"/>
            </w:pPr>
            <w:r>
              <w:rPr>
                <w:sz w:val="17"/>
              </w:rPr>
              <w:t xml:space="preserve">cell_ontology_class，8类</w:t>
            </w:r>
          </w:p>
        </w:tc>
        <w:tc>
          <w:tcPr/>
          <w:p>
            <w:pPr>
              <w:pStyle w:val="Compact"/>
              <w:spacing w:after="40" w:line="264" w:lineRule="auto"/>
              <w:jc w:val="left"/>
            </w:pPr>
            <w:r>
              <w:rPr>
                <w:sz w:val="17"/>
              </w:rPr>
              <w:t xml:space="preserve">发布的六类broad免疫表型</w:t>
            </w:r>
          </w:p>
        </w:tc>
      </w:tr>
    </w:tbl>
    <w:p>
      <w:pPr>
        <w:pStyle w:val="BodyText"/>
      </w:pPr>
      <w:r>
        <w:t xml:space="preserve">LM使用</w:t>
      </w:r>
      <w:r>
        <w:rPr>
          <w:rStyle w:val="VerbatimChar"/>
        </w:rPr>
        <w:t xml:space="preserve">tabula_muris_limb_preproc.rds</w:t>
      </w:r>
      <w:r>
        <w:t xml:space="preserve">，对象为SingleCellExperiment，文件大小43383527字节。输入SHA256为</w:t>
      </w:r>
      <w:r>
        <w:rPr>
          <w:rStyle w:val="VerbatimChar"/>
        </w:rPr>
        <w:t xml:space="preserve">af643523ccdf49e4931b5a0f8c53e67ba7fb24fbabb2fed7edfecf3b55c51f8b</w:t>
      </w:r>
      <w:r>
        <w:t xml:space="preserve">。本次分析读取其既有</w:t>
      </w:r>
      <w:r>
        <w:rPr>
          <w:rStyle w:val="VerbatimChar"/>
        </w:rPr>
        <w:t xml:space="preserve">logcounts</w:t>
      </w:r>
      <w:r>
        <w:t xml:space="preserve">，保留1882个细胞及原始细胞ID。6000个高变基因构成本次实际CA特征集合，特征ID随运行记录导出。</w:t>
      </w:r>
    </w:p>
    <w:p>
      <w:pPr>
        <w:pStyle w:val="BodyText"/>
      </w:pPr>
      <w:r>
        <w:t xml:space="preserve">HSC使用scRNAseq legacy</w:t>
      </w:r>
      <w:r>
        <w:t xml:space="preserve"> </w:t>
      </w:r>
      <w:r>
        <w:rPr>
          <w:rStyle w:val="VerbatimChar"/>
        </w:rPr>
        <w:t xml:space="preserve">nestorowa-hsc/2.0.0</w:t>
      </w:r>
      <w:r>
        <w:t xml:space="preserve">路径提供的表达与元数据资源（EH2694、EH2695），并保留GEO来源核对记录。细胞ID作为数据、元数据、分区与评价的共同连接键。</w:t>
      </w:r>
    </w:p>
    <w:bookmarkEnd w:id="27"/>
    <w:bookmarkEnd w:id="28"/>
    <w:bookmarkStart w:id="36" w:name="方法原理"/>
    <w:p>
      <w:pPr>
        <w:pStyle w:val="Heading1"/>
      </w:pPr>
      <w:r>
        <w:t xml:space="preserve">3 方法原理</w:t>
      </w:r>
    </w:p>
    <w:bookmarkStart w:id="29" w:name="高变基因与输入表示"/>
    <w:p>
      <w:pPr>
        <w:pStyle w:val="Heading2"/>
      </w:pPr>
      <w:r>
        <w:t xml:space="preserve">3.1 高变基因与输入表示</w:t>
      </w:r>
    </w:p>
    <w:p>
      <w:pPr>
        <w:pStyle w:val="FirstParagraph"/>
      </w:pPr>
      <w:r>
        <w:t xml:space="preserve">设表达矩阵为</w:t>
      </w:r>
      <m:oMath>
        <m:r>
          <m:rPr>
            <m:sty m:val="b"/>
          </m:rPr>
          <m:t>X</m:t>
        </m:r>
        <m:r>
          <m:rPr>
            <m:sty m:val="p"/>
          </m:rPr>
          <m:t>∈</m:t>
        </m:r>
        <m:sSubSup>
          <m:e>
            <m:r>
              <m:rPr>
                <m:sty m:val="p"/>
                <m:scr m:val="double-struck"/>
              </m:rPr>
              <m:t>R</m:t>
            </m:r>
          </m:e>
          <m:sub>
            <m:r>
              <m:rPr>
                <m:sty m:val="p"/>
              </m:rPr>
              <m:t>≥</m:t>
            </m:r>
            <m:r>
              <m:t>0</m:t>
            </m:r>
          </m:sub>
          <m:sup>
            <m:r>
              <m:t>G</m:t>
            </m:r>
            <m:r>
              <m:rPr>
                <m:sty m:val="p"/>
              </m:rPr>
              <m:t>×</m:t>
            </m:r>
            <m:r>
              <m:t>N</m:t>
            </m:r>
          </m:sup>
        </m:sSubSup>
      </m:oMath>
      <w:r>
        <w:t xml:space="preserve">，行对应基因，列对应细胞。高变基因选择通过</w:t>
      </w:r>
      <w:r>
        <w:rPr>
          <w:rStyle w:val="VerbatimChar"/>
        </w:rPr>
        <w:t xml:space="preserve">scran::modelGeneVar</w:t>
      </w:r>
      <w:r>
        <w:t xml:space="preserve">估计基因表达的均值、总方差及生物学变异成分，再按生物学变异选取6000个基因。实际调用使用</w:t>
      </w:r>
      <w:r>
        <w:rPr>
          <w:rStyle w:val="VerbatimChar"/>
        </w:rPr>
        <w:t xml:space="preserve">var.threshold=NULL</w:t>
      </w:r>
      <w:r>
        <w:t xml:space="preserve">和固定数量，生成具有明确顺序的特征列表。</w:t>
      </w:r>
    </w:p>
    <w:p>
      <w:pPr>
        <w:pStyle w:val="BodyText"/>
      </w:pPr>
      <w:r>
        <w:t xml:space="preserve">LM直接使用输入的</w:t>
      </w:r>
      <w:r>
        <w:rPr>
          <w:rStyle w:val="VerbatimChar"/>
        </w:rPr>
        <w:t xml:space="preserve">logcounts</w:t>
      </w:r>
      <w:r>
        <w:t xml:space="preserve">。HSC先进行共同质量控制，以保留细胞的内源性文库大小</w:t>
      </w:r>
      <m:oMath>
        <m:sSub>
          <m:e>
            <m:r>
              <m:t>L</m:t>
            </m:r>
          </m:e>
          <m:sub>
            <m:r>
              <m:t>j</m:t>
            </m:r>
          </m:sub>
        </m:sSub>
      </m:oMath>
      <w:r>
        <w:t xml:space="preserve">计算大小因子</w:t>
      </w:r>
      <m:oMath>
        <m:sSub>
          <m:e>
            <m:r>
              <m:t>s</m:t>
            </m:r>
          </m:e>
          <m:sub>
            <m:r>
              <m:t>j</m:t>
            </m:r>
          </m:sub>
        </m:sSub>
        <m:r>
          <m:rPr>
            <m:sty m:val="p"/>
          </m:rPr>
          <m:t>=</m:t>
        </m:r>
        <m:sSub>
          <m:e>
            <m:r>
              <m:t>L</m:t>
            </m:r>
          </m:e>
          <m:sub>
            <m:r>
              <m:t>j</m:t>
            </m:r>
          </m:sub>
        </m:sSub>
        <m:r>
          <m:rPr>
            <m:sty m:val="p"/>
          </m:rPr>
          <m:t>/</m:t>
        </m:r>
        <m:bar>
          <m:barPr>
            <m:pos m:val="top"/>
          </m:barPr>
          <m:e>
            <m:r>
              <m:t>L</m:t>
            </m:r>
          </m:e>
        </m:bar>
      </m:oMath>
      <w:r>
        <w:t xml:space="preserve">，再执行</w:t>
      </w:r>
    </w:p>
    <w:p>
      <w:pPr>
        <w:pStyle w:val="BodyText"/>
      </w:pPr>
      <m:oMathPara>
        <m:oMathParaPr>
          <m:jc m:val="center"/>
        </m:oMathParaPr>
        <m:oMath>
          <m:sSub>
            <m:e>
              <m:r>
                <m:t>x</m:t>
              </m:r>
            </m:e>
            <m:sub>
              <m:r>
                <m:t>i</m:t>
              </m:r>
              <m:r>
                <m:t>j</m:t>
              </m:r>
            </m:sub>
          </m:sSub>
          <m:r>
            <m:rPr>
              <m:sty m:val="p"/>
            </m:rPr>
            <m:t>=</m:t>
          </m:r>
          <m:sSub>
            <m:e>
              <m:r>
                <m:rPr>
                  <m:sty m:val="p"/>
                </m:rPr>
                <m:t>log</m:t>
              </m:r>
            </m:e>
            <m:sub>
              <m:r>
                <m:t>2</m:t>
              </m:r>
            </m:sub>
          </m:sSub>
          <m:d>
            <m:dPr>
              <m:begChr m:val="("/>
              <m:endChr m:val=")"/>
              <m:sepChr m:val=""/>
              <m:grow/>
            </m:dPr>
            <m:e>
              <m:f>
                <m:fPr>
                  <m:type m:val="bar"/>
                </m:fPr>
                <m:num>
                  <m:sSub>
                    <m:e>
                      <m:r>
                        <m:t>c</m:t>
                      </m:r>
                    </m:e>
                    <m:sub>
                      <m:r>
                        <m:t>i</m:t>
                      </m:r>
                      <m:r>
                        <m:t>j</m:t>
                      </m:r>
                    </m:sub>
                  </m:sSub>
                </m:num>
                <m:den>
                  <m:sSub>
                    <m:e>
                      <m:r>
                        <m:t>s</m:t>
                      </m:r>
                    </m:e>
                    <m:sub>
                      <m:r>
                        <m:t>j</m:t>
                      </m:r>
                    </m:sub>
                  </m:sSub>
                </m:den>
              </m:f>
              <m:r>
                <m:rPr>
                  <m:sty m:val="p"/>
                </m:rPr>
                <m:t>+</m:t>
              </m:r>
              <m:r>
                <m:t>1</m:t>
              </m:r>
            </m:e>
          </m:d>
          <m:r>
            <m:rPr>
              <m:sty m:val="p"/>
            </m:rPr>
            <m:t>,</m:t>
          </m:r>
        </m:oMath>
      </m:oMathPara>
    </w:p>
    <w:p>
      <w:pPr>
        <w:pStyle w:val="FirstParagraph"/>
      </w:pPr>
      <w:r>
        <w:t xml:space="preserve">其中</w:t>
      </w:r>
      <m:oMath>
        <m:sSub>
          <m:e>
            <m:r>
              <m:t>c</m:t>
            </m:r>
          </m:e>
          <m:sub>
            <m:r>
              <m:t>i</m:t>
            </m:r>
            <m:r>
              <m:t>j</m:t>
            </m:r>
          </m:sub>
        </m:sSub>
      </m:oMath>
      <w:r>
        <w:t xml:space="preserve">是原始计数。HSC的大小因子使用低表达过滤前的全部内源性基因计算，随后选择在至少3个保留细胞中检出的基因并建立高变基因输入。两方法读取同一份归一化、高变基因对象。</w:t>
      </w:r>
    </w:p>
    <w:bookmarkEnd w:id="29"/>
    <w:bookmarkStart w:id="30" w:name="对应分析"/>
    <w:p>
      <w:pPr>
        <w:pStyle w:val="Heading2"/>
      </w:pPr>
      <w:r>
        <w:t xml:space="preserve">3.2 对应分析</w:t>
      </w:r>
    </w:p>
    <w:p>
      <w:pPr>
        <w:pStyle w:val="FirstParagraph"/>
      </w:pPr>
      <w:r>
        <w:t xml:space="preserve">记矩阵元素总和为</w:t>
      </w:r>
      <m:oMath>
        <m:r>
          <m:t>T</m:t>
        </m:r>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x</m:t>
                    </m:r>
                  </m:e>
                  <m:sub>
                    <m:r>
                      <m:t>i</m:t>
                    </m:r>
                    <m:r>
                      <m:t>j</m:t>
                    </m:r>
                  </m:sub>
                </m:sSub>
              </m:e>
            </m:nary>
          </m:e>
        </m:nary>
      </m:oMath>
      <w:r>
        <w:t xml:space="preserve">，比例矩阵为</w:t>
      </w:r>
      <m:oMath>
        <m:r>
          <m:rPr>
            <m:sty m:val="b"/>
          </m:rPr>
          <m:t>P</m:t>
        </m:r>
        <m:r>
          <m:rPr>
            <m:sty m:val="p"/>
          </m:rPr>
          <m:t>=</m:t>
        </m:r>
        <m:r>
          <m:rPr>
            <m:sty m:val="b"/>
          </m:rPr>
          <m:t>X</m:t>
        </m:r>
        <m:r>
          <m:rPr>
            <m:sty m:val="p"/>
          </m:rPr>
          <m:t>/</m:t>
        </m:r>
        <m:r>
          <m:t>T</m:t>
        </m:r>
      </m:oMath>
      <w:r>
        <w:t xml:space="preserve">，行质量为</w:t>
      </w:r>
      <m:oMath>
        <m:sSub>
          <m:e>
            <m:r>
              <m:t>r</m:t>
            </m:r>
          </m:e>
          <m:sub>
            <m:r>
              <m:t>i</m:t>
            </m:r>
          </m:sub>
        </m:sSub>
        <m:r>
          <m:rPr>
            <m:sty m:val="p"/>
          </m:rPr>
          <m:t>=</m:t>
        </m:r>
        <m:nary>
          <m:naryPr>
            <m:chr m:val="∑"/>
            <m:limLoc m:val="undOvr"/>
            <m:subHide m:val="off"/>
            <m:supHide m:val="on"/>
          </m:naryPr>
          <m:sub>
            <m:r>
              <m:t>j</m:t>
            </m:r>
          </m:sub>
          <m:sup>
            <m:r>
              <m:t>​</m:t>
            </m:r>
          </m:sup>
          <m:e>
            <m:sSub>
              <m:e>
                <m:r>
                  <m:t>p</m:t>
                </m:r>
              </m:e>
              <m:sub>
                <m:r>
                  <m:t>i</m:t>
                </m:r>
                <m:r>
                  <m:t>j</m:t>
                </m:r>
              </m:sub>
            </m:sSub>
          </m:e>
        </m:nary>
      </m:oMath>
      <w:r>
        <w:t xml:space="preserve">，列质量为</w:t>
      </w:r>
      <m:oMath>
        <m:sSub>
          <m:e>
            <m:r>
              <m:t>c</m:t>
            </m:r>
          </m:e>
          <m:sub>
            <m:r>
              <m:t>j</m:t>
            </m:r>
          </m:sub>
        </m:sSub>
        <m:r>
          <m:rPr>
            <m:sty m:val="p"/>
          </m:rPr>
          <m:t>=</m:t>
        </m:r>
        <m:nary>
          <m:naryPr>
            <m:chr m:val="∑"/>
            <m:limLoc m:val="undOvr"/>
            <m:subHide m:val="off"/>
            <m:supHide m:val="on"/>
          </m:naryPr>
          <m:sub>
            <m:r>
              <m:t>i</m:t>
            </m:r>
          </m:sub>
          <m:sup>
            <m:r>
              <m:t>​</m:t>
            </m:r>
          </m:sup>
          <m:e>
            <m:sSub>
              <m:e>
                <m:r>
                  <m:t>p</m:t>
                </m:r>
              </m:e>
              <m:sub>
                <m:r>
                  <m:t>i</m:t>
                </m:r>
                <m:r>
                  <m:t>j</m:t>
                </m:r>
              </m:sub>
            </m:sSub>
          </m:e>
        </m:nary>
      </m:oMath>
      <w:r>
        <w:t xml:space="preserve">。基因与细胞独立时的期望比例为</w:t>
      </w:r>
      <m:oMath>
        <m:sSub>
          <m:e>
            <m:r>
              <m:t>r</m:t>
            </m:r>
          </m:e>
          <m:sub>
            <m:r>
              <m:t>i</m:t>
            </m:r>
          </m:sub>
        </m:sSub>
        <m:sSub>
          <m:e>
            <m:r>
              <m:t>c</m:t>
            </m:r>
          </m:e>
          <m:sub>
            <m:r>
              <m:t>j</m:t>
            </m:r>
          </m:sub>
        </m:sSub>
      </m:oMath>
      <w:r>
        <w:t xml:space="preserve">，Pearson标准化残差矩阵为</w:t>
      </w:r>
    </w:p>
    <w:p>
      <w:pPr>
        <w:pStyle w:val="BodyText"/>
      </w:pPr>
      <m:oMathPara>
        <m:oMathParaPr>
          <m:jc m:val="center"/>
        </m:oMathParaPr>
        <m:oMath>
          <m:r>
            <m:rPr>
              <m:sty m:val="b"/>
            </m:rPr>
            <m:t>S</m:t>
          </m:r>
          <m:r>
            <m:rPr>
              <m:sty m:val="p"/>
            </m:rPr>
            <m:t>=</m:t>
          </m:r>
          <m:sSubSup>
            <m:e>
              <m:r>
                <m:rPr>
                  <m:sty m:val="b"/>
                </m:rPr>
                <m:t>D</m:t>
              </m:r>
            </m:e>
            <m:sub>
              <m:r>
                <m:t>r</m:t>
              </m:r>
            </m:sub>
            <m:sup>
              <m:r>
                <m:rPr>
                  <m:sty m:val="p"/>
                </m:rPr>
                <m:t>−</m:t>
              </m:r>
              <m:r>
                <m:t>1</m:t>
              </m:r>
              <m:r>
                <m:rPr>
                  <m:sty m:val="p"/>
                </m:rPr>
                <m:t>/</m:t>
              </m:r>
              <m:r>
                <m:t>2</m:t>
              </m:r>
            </m:sup>
          </m:sSubSup>
          <m:d>
            <m:dPr>
              <m:begChr m:val="("/>
              <m:endChr m:val=")"/>
              <m:sepChr m:val=""/>
              <m:grow/>
            </m:dPr>
            <m:e>
              <m:r>
                <m:rPr>
                  <m:sty m:val="b"/>
                </m:rPr>
                <m:t>P</m:t>
              </m:r>
              <m:r>
                <m:rPr>
                  <m:sty m:val="p"/>
                </m:rPr>
                <m:t>−</m:t>
              </m:r>
              <m:r>
                <m:rPr>
                  <m:sty m:val="b"/>
                </m:rPr>
                <m:t>r</m:t>
              </m:r>
              <m:sSup>
                <m:e>
                  <m:r>
                    <m:rPr>
                      <m:sty m:val="b"/>
                    </m:rPr>
                    <m:t>c</m:t>
                  </m:r>
                </m:e>
                <m:sup>
                  <m:r>
                    <m:rPr>
                      <m:sty m:val="p"/>
                      <m:scr m:val="sans-serif"/>
                    </m:rPr>
                    <m:t>T</m:t>
                  </m:r>
                </m:sup>
              </m:sSup>
            </m:e>
          </m:d>
          <m:sSubSup>
            <m:e>
              <m:r>
                <m:rPr>
                  <m:sty m:val="b"/>
                </m:rPr>
                <m:t>D</m:t>
              </m:r>
            </m:e>
            <m:sub>
              <m:r>
                <m:t>c</m:t>
              </m:r>
            </m:sub>
            <m:sup>
              <m:r>
                <m:rPr>
                  <m:sty m:val="p"/>
                </m:rPr>
                <m:t>−</m:t>
              </m:r>
              <m:r>
                <m:t>1</m:t>
              </m:r>
              <m:r>
                <m:rPr>
                  <m:sty m:val="p"/>
                </m:rPr>
                <m:t>/</m:t>
              </m:r>
              <m:r>
                <m:t>2</m:t>
              </m:r>
            </m:sup>
          </m:sSubSup>
          <m:r>
            <m:rPr>
              <m:sty m:val="p"/>
            </m:rPr>
            <m:t>,</m:t>
          </m:r>
        </m:oMath>
      </m:oMathPara>
    </w:p>
    <w:p>
      <w:pPr>
        <w:pStyle w:val="FirstParagraph"/>
      </w:pPr>
      <w:r>
        <w:t xml:space="preserve">其中</w:t>
      </w:r>
      <m:oMath>
        <m:sSub>
          <m:e>
            <m:r>
              <m:rPr>
                <m:sty m:val="b"/>
              </m:rPr>
              <m:t>D</m:t>
            </m:r>
          </m:e>
          <m:sub>
            <m:r>
              <m:t>r</m:t>
            </m:r>
          </m:sub>
        </m:sSub>
        <m:r>
          <m:rPr>
            <m:sty m:val="p"/>
          </m:rPr>
          <m:t>=</m:t>
        </m:r>
        <m:r>
          <m:rPr>
            <m:sty m:val="p"/>
          </m:rPr>
          <m:t>diag</m:t>
        </m:r>
        <m:d>
          <m:dPr>
            <m:begChr m:val="("/>
            <m:endChr m:val=")"/>
            <m:sepChr m:val=""/>
            <m:grow/>
          </m:dPr>
          <m:e>
            <m:r>
              <m:rPr>
                <m:sty m:val="b"/>
              </m:rPr>
              <m:t>r</m:t>
            </m:r>
          </m:e>
        </m:d>
      </m:oMath>
      <w:r>
        <w:t xml:space="preserve">，</w:t>
      </w:r>
      <m:oMath>
        <m:sSub>
          <m:e>
            <m:r>
              <m:rPr>
                <m:sty m:val="b"/>
              </m:rPr>
              <m:t>D</m:t>
            </m:r>
          </m:e>
          <m:sub>
            <m:r>
              <m:t>c</m:t>
            </m:r>
          </m:sub>
        </m:sSub>
        <m:r>
          <m:rPr>
            <m:sty m:val="p"/>
          </m:rPr>
          <m:t>=</m:t>
        </m:r>
        <m:r>
          <m:rPr>
            <m:sty m:val="p"/>
          </m:rPr>
          <m:t>diag</m:t>
        </m:r>
        <m:d>
          <m:dPr>
            <m:begChr m:val="("/>
            <m:endChr m:val=")"/>
            <m:sepChr m:val=""/>
            <m:grow/>
          </m:dPr>
          <m:e>
            <m:r>
              <m:rPr>
                <m:sty m:val="b"/>
              </m:rPr>
              <m:t>c</m:t>
            </m:r>
          </m:e>
        </m:d>
      </m:oMath>
      <w:r>
        <w:t xml:space="preserve">。这一步突出相对于独立期望的关联结构。</w:t>
      </w:r>
    </w:p>
    <w:p>
      <w:pPr>
        <w:pStyle w:val="BodyText"/>
      </w:pPr>
      <w:r>
        <w:t xml:space="preserve">对残差矩阵进行截断奇异值分解：</w:t>
      </w:r>
    </w:p>
    <w:p>
      <w:pPr>
        <w:pStyle w:val="BodyText"/>
      </w:pPr>
      <m:oMathPara>
        <m:oMathParaPr>
          <m:jc m:val="center"/>
        </m:oMathParaPr>
        <m:oMath>
          <m:r>
            <m:rPr>
              <m:sty m:val="b"/>
            </m:rPr>
            <m:t>S</m:t>
          </m:r>
          <m:r>
            <m:rPr>
              <m:sty m:val="p"/>
            </m:rPr>
            <m:t>≈</m:t>
          </m:r>
          <m:sSub>
            <m:e>
              <m:r>
                <m:rPr>
                  <m:sty m:val="b"/>
                </m:rPr>
                <m:t>U</m:t>
              </m:r>
            </m:e>
            <m:sub>
              <m:r>
                <m:t>d</m:t>
              </m:r>
            </m:sub>
          </m:sSub>
          <m:r>
            <m:rPr>
              <m:sty m:val="b"/>
            </m:rPr>
            <m:t>D</m:t>
          </m:r>
          <m:sSubSup>
            <m:e>
              <m:r>
                <m:rPr>
                  <m:sty m:val="b"/>
                </m:rPr>
                <m:t>V</m:t>
              </m:r>
            </m:e>
            <m:sub>
              <m:r>
                <m:t>d</m:t>
              </m:r>
            </m:sub>
            <m:sup>
              <m:r>
                <m:rPr>
                  <m:sty m:val="p"/>
                  <m:scr m:val="sans-serif"/>
                </m:rPr>
                <m:t>T</m:t>
              </m:r>
            </m:sup>
          </m:sSubSup>
          <m:r>
            <m:rPr>
              <m:sty m:val="p"/>
            </m:rPr>
            <m:t>,</m:t>
          </m:r>
          <m:r>
            <m:t>  </m:t>
          </m:r>
          <m:r>
            <m:t>d</m:t>
          </m:r>
          <m:r>
            <m:rPr>
              <m:sty m:val="p"/>
            </m:rPr>
            <m:t>=</m:t>
          </m:r>
          <m:r>
            <m:t>30</m:t>
          </m:r>
          <m:r>
            <m:rPr>
              <m:sty m:val="p"/>
            </m:rPr>
            <m:t>.</m:t>
          </m:r>
        </m:oMath>
      </m:oMathPara>
    </w:p>
    <w:p>
      <w:pPr>
        <w:pStyle w:val="FirstParagraph"/>
      </w:pPr>
      <w:r>
        <w:t xml:space="preserve">基因、细胞的标准坐标分别为</w:t>
      </w:r>
      <m:oMath>
        <m:r>
          <m:rPr>
            <m:sty m:val="b"/>
          </m:rPr>
          <m:t>Φ</m:t>
        </m:r>
        <m:r>
          <m:rPr>
            <m:sty m:val="p"/>
          </m:rPr>
          <m:t>=</m:t>
        </m:r>
        <m:sSubSup>
          <m:e>
            <m:r>
              <m:rPr>
                <m:sty m:val="b"/>
              </m:rPr>
              <m:t>D</m:t>
            </m:r>
          </m:e>
          <m:sub>
            <m:r>
              <m:t>r</m:t>
            </m:r>
          </m:sub>
          <m:sup>
            <m:r>
              <m:rPr>
                <m:sty m:val="p"/>
              </m:rPr>
              <m:t>−</m:t>
            </m:r>
            <m:r>
              <m:t>1</m:t>
            </m:r>
            <m:r>
              <m:rPr>
                <m:sty m:val="p"/>
              </m:rPr>
              <m:t>/</m:t>
            </m:r>
            <m:r>
              <m:t>2</m:t>
            </m:r>
          </m:sup>
        </m:sSubSup>
        <m:sSub>
          <m:e>
            <m:r>
              <m:rPr>
                <m:sty m:val="b"/>
              </m:rPr>
              <m:t>U</m:t>
            </m:r>
          </m:e>
          <m:sub>
            <m:r>
              <m:t>d</m:t>
            </m:r>
          </m:sub>
        </m:sSub>
      </m:oMath>
      <w:r>
        <w:t xml:space="preserve">和</w:t>
      </w:r>
      <m:oMath>
        <m:r>
          <m:rPr>
            <m:sty m:val="b"/>
          </m:rPr>
          <m:t>Γ</m:t>
        </m:r>
        <m:r>
          <m:rPr>
            <m:sty m:val="p"/>
          </m:rPr>
          <m:t>=</m:t>
        </m:r>
        <m:sSubSup>
          <m:e>
            <m:r>
              <m:rPr>
                <m:sty m:val="b"/>
              </m:rPr>
              <m:t>D</m:t>
            </m:r>
          </m:e>
          <m:sub>
            <m:r>
              <m:t>c</m:t>
            </m:r>
          </m:sub>
          <m:sup>
            <m:r>
              <m:rPr>
                <m:sty m:val="p"/>
              </m:rPr>
              <m:t>−</m:t>
            </m:r>
            <m:r>
              <m:t>1</m:t>
            </m:r>
            <m:r>
              <m:rPr>
                <m:sty m:val="p"/>
              </m:rPr>
              <m:t>/</m:t>
            </m:r>
            <m:r>
              <m:t>2</m:t>
            </m:r>
          </m:sup>
        </m:sSubSup>
        <m:sSub>
          <m:e>
            <m:r>
              <m:rPr>
                <m:sty m:val="b"/>
              </m:rPr>
              <m:t>V</m:t>
            </m:r>
          </m:e>
          <m:sub>
            <m:r>
              <m:t>d</m:t>
            </m:r>
          </m:sub>
        </m:sSub>
      </m:oMath>
      <w:r>
        <w:t xml:space="preserve">；主坐标为</w:t>
      </w:r>
    </w:p>
    <w:p>
      <w:pPr>
        <w:pStyle w:val="BodyText"/>
      </w:pPr>
      <m:oMathPara>
        <m:oMathParaPr>
          <m:jc m:val="center"/>
        </m:oMathParaPr>
        <m:oMath>
          <m:r>
            <m:rPr>
              <m:sty m:val="b"/>
            </m:rPr>
            <m:t>F</m:t>
          </m:r>
          <m:r>
            <m:rPr>
              <m:sty m:val="p"/>
            </m:rPr>
            <m:t>=</m:t>
          </m:r>
          <m:r>
            <m:rPr>
              <m:sty m:val="b"/>
            </m:rPr>
            <m:t>Φ</m:t>
          </m:r>
          <m:r>
            <m:rPr>
              <m:sty m:val="b"/>
            </m:rPr>
            <m:t>D</m:t>
          </m:r>
          <m:r>
            <m:rPr>
              <m:sty m:val="p"/>
            </m:rPr>
            <m:t>,</m:t>
          </m:r>
          <m:r>
            <m:t>  </m:t>
          </m:r>
          <m:r>
            <m:rPr>
              <m:sty m:val="b"/>
            </m:rPr>
            <m:t>G</m:t>
          </m:r>
          <m:r>
            <m:rPr>
              <m:sty m:val="p"/>
            </m:rPr>
            <m:t>=</m:t>
          </m:r>
          <m:r>
            <m:rPr>
              <m:sty m:val="b"/>
            </m:rPr>
            <m:t>Γ</m:t>
          </m:r>
          <m:r>
            <m:rPr>
              <m:sty m:val="b"/>
            </m:rPr>
            <m:t>D</m:t>
          </m:r>
          <m:r>
            <m:rPr>
              <m:sty m:val="p"/>
            </m:rPr>
            <m:t>.</m:t>
          </m:r>
        </m:oMath>
      </m:oMathPara>
    </w:p>
    <w:p>
      <w:pPr>
        <w:pStyle w:val="FirstParagraph"/>
      </w:pPr>
      <w:r>
        <w:t xml:space="preserve">CAdir用细胞主坐标寻找聚类方向。APL调用中</w:t>
      </w:r>
      <w:r>
        <w:rPr>
          <w:rStyle w:val="VerbatimChar"/>
        </w:rPr>
        <w:t xml:space="preserve">princ_coords=3</w:t>
      </w:r>
      <w:r>
        <w:t xml:space="preserve">选择同时计算行、列主坐标，</w:t>
      </w:r>
      <w:r>
        <w:rPr>
          <w:rStyle w:val="VerbatimChar"/>
        </w:rPr>
        <w:t xml:space="preserve">dims=30</w:t>
      </w:r>
      <w:r>
        <w:t xml:space="preserve">设置保留维数。本文LM使用的APL版本在该截断维数下通过</w:t>
      </w:r>
      <w:r>
        <w:rPr>
          <w:rStyle w:val="VerbatimChar"/>
        </w:rPr>
        <w:t xml:space="preserve">irlba</w:t>
      </w:r>
      <w:r>
        <w:t xml:space="preserve">计算部分奇异值分解。</w:t>
      </w:r>
    </w:p>
    <w:bookmarkEnd w:id="30"/>
    <w:bookmarkStart w:id="31" w:name="方向分配与更新"/>
    <w:p>
      <w:pPr>
        <w:pStyle w:val="Heading2"/>
      </w:pPr>
      <w:r>
        <w:t xml:space="preserve">3.3 方向分配与更新</w:t>
      </w:r>
    </w:p>
    <w:p>
      <w:pPr>
        <w:pStyle w:val="FirstParagraph"/>
      </w:pPr>
      <w:r>
        <w:t xml:space="preserve">令细胞主坐标为</w:t>
      </w:r>
      <m:oMath>
        <m:sSub>
          <m:e>
            <m:r>
              <m:rPr>
                <m:sty m:val="b"/>
              </m:rPr>
              <m:t>z</m:t>
            </m:r>
          </m:e>
          <m:sub>
            <m:r>
              <m:t>j</m:t>
            </m:r>
          </m:sub>
        </m:sSub>
      </m:oMath>
      <w:r>
        <w:t xml:space="preserve">，第</w:t>
      </w:r>
      <m:oMath>
        <m:r>
          <m:t>k</m:t>
        </m:r>
      </m:oMath>
      <w:r>
        <w:t xml:space="preserve">个单位方向为</w:t>
      </w:r>
      <m:oMath>
        <m:sSub>
          <m:e>
            <m:r>
              <m:rPr>
                <m:sty m:val="b"/>
              </m:rPr>
              <m:t>u</m:t>
            </m:r>
          </m:e>
          <m:sub>
            <m:r>
              <m:t>k</m:t>
            </m:r>
          </m:sub>
        </m:sSub>
      </m:oMath>
      <w:r>
        <w:t xml:space="preserve">。点到方向所在直线的正交距离为</w:t>
      </w:r>
    </w:p>
    <w:p>
      <w:pPr>
        <w:pStyle w:val="BodyText"/>
      </w:pPr>
      <m:oMathPara>
        <m:oMathParaPr>
          <m:jc m:val="center"/>
        </m:oMathParaPr>
        <m:oMath>
          <m:sSub>
            <m:e>
              <m:r>
                <m:t>d</m:t>
              </m:r>
            </m:e>
            <m:sub>
              <m:r>
                <m:t>j</m:t>
              </m:r>
              <m:r>
                <m:t>k</m:t>
              </m:r>
            </m:sub>
          </m:sSub>
          <m:r>
            <m:rPr>
              <m:sty m:val="p"/>
            </m:rPr>
            <m:t>=</m:t>
          </m:r>
          <m:rad>
            <m:radPr>
              <m:degHide m:val="on"/>
            </m:radPr>
            <m:deg/>
            <m:e>
              <m:r>
                <m:rPr>
                  <m:sty m:val="p"/>
                </m:rPr>
                <m:t>max</m:t>
              </m:r>
              <m:r>
                <m:rPr>
                  <m:sty m:val="p"/>
                </m:rPr>
                <m:t>{</m:t>
              </m:r>
              <m:r>
                <m:t>0</m:t>
              </m:r>
              <m:r>
                <m:rPr>
                  <m:sty m:val="p"/>
                </m:rPr>
                <m:t>,</m:t>
              </m:r>
              <m:r>
                <m:rPr>
                  <m:sty m:val="p"/>
                </m:rPr>
                <m:t>∥</m:t>
              </m:r>
              <m:sSub>
                <m:e>
                  <m:r>
                    <m:rPr>
                      <m:sty m:val="b"/>
                    </m:rPr>
                    <m:t>z</m:t>
                  </m:r>
                </m:e>
                <m:sub>
                  <m:r>
                    <m:t>j</m:t>
                  </m:r>
                </m:sub>
              </m:sSub>
              <m:sSup>
                <m:e>
                  <m:r>
                    <m:rPr>
                      <m:sty m:val="p"/>
                    </m:rPr>
                    <m:t>∥</m:t>
                  </m:r>
                </m:e>
                <m:sup>
                  <m:r>
                    <m:t>2</m:t>
                  </m:r>
                </m:sup>
              </m:sSup>
              <m:r>
                <m:rPr>
                  <m:sty m:val="p"/>
                </m:rPr>
                <m:t>−</m:t>
              </m:r>
              <m:sSup>
                <m:e>
                  <m:d>
                    <m:dPr>
                      <m:begChr m:val="("/>
                      <m:endChr m:val=")"/>
                      <m:sepChr m:val=""/>
                      <m:grow/>
                    </m:dPr>
                    <m:e>
                      <m:sSubSup>
                        <m:e>
                          <m:r>
                            <m:rPr>
                              <m:sty m:val="b"/>
                            </m:rPr>
                            <m:t>z</m:t>
                          </m:r>
                        </m:e>
                        <m:sub>
                          <m:r>
                            <m:t>j</m:t>
                          </m:r>
                        </m:sub>
                        <m:sup>
                          <m:r>
                            <m:rPr>
                              <m:sty m:val="p"/>
                              <m:scr m:val="sans-serif"/>
                            </m:rPr>
                            <m:t>T</m:t>
                          </m:r>
                        </m:sup>
                      </m:sSubSup>
                      <m:sSub>
                        <m:e>
                          <m:r>
                            <m:rPr>
                              <m:sty m:val="b"/>
                            </m:rPr>
                            <m:t>u</m:t>
                          </m:r>
                        </m:e>
                        <m:sub>
                          <m:r>
                            <m:t>k</m:t>
                          </m:r>
                        </m:sub>
                      </m:sSub>
                    </m:e>
                  </m:d>
                </m:e>
                <m:sup>
                  <m:r>
                    <m:t>2</m:t>
                  </m:r>
                </m:sup>
              </m:sSup>
              <m:r>
                <m:rPr>
                  <m:sty m:val="p"/>
                </m:rPr>
                <m:t>}</m:t>
              </m:r>
            </m:e>
          </m:rad>
          <m:r>
            <m:rPr>
              <m:sty m:val="p"/>
            </m:rPr>
            <m:t>.</m:t>
          </m:r>
        </m:oMath>
      </m:oMathPara>
    </w:p>
    <w:p>
      <w:pPr>
        <w:pStyle w:val="FirstParagraph"/>
      </w:pPr>
      <w:r>
        <w:t xml:space="preserve">实际方向分配采用正向投影约束：</w:t>
      </w:r>
      <m:oMath>
        <m:sSubSup>
          <m:e>
            <m:r>
              <m:rPr>
                <m:sty m:val="b"/>
              </m:rPr>
              <m:t>z</m:t>
            </m:r>
          </m:e>
          <m:sub>
            <m:r>
              <m:t>j</m:t>
            </m:r>
          </m:sub>
          <m:sup>
            <m:r>
              <m:rPr>
                <m:sty m:val="p"/>
                <m:scr m:val="sans-serif"/>
              </m:rPr>
              <m:t>T</m:t>
            </m:r>
          </m:sup>
        </m:sSubSup>
        <m:sSub>
          <m:e>
            <m:r>
              <m:rPr>
                <m:sty m:val="b"/>
              </m:rPr>
              <m:t>u</m:t>
            </m:r>
          </m:e>
          <m:sub>
            <m:r>
              <m:t>k</m:t>
            </m:r>
          </m:sub>
        </m:sSub>
        <m:r>
          <m:rPr>
            <m:sty m:val="p"/>
          </m:rPr>
          <m:t>&lt;</m:t>
        </m:r>
        <m:r>
          <m:t>0</m:t>
        </m:r>
      </m:oMath>
      <w:r>
        <w:t xml:space="preserve">时，该候选距离置为无穷。随后将细胞分配到距离最小的方向。</w:t>
      </w:r>
    </w:p>
    <w:p>
      <w:pPr>
        <w:pStyle w:val="BodyText"/>
      </w:pPr>
      <w:r>
        <w:t xml:space="preserve">每个簇通过过原点的总最小二乘更新方向。对簇内坐标组成的矩阵</w:t>
      </w:r>
      <m:oMath>
        <m:sSub>
          <m:e>
            <m:r>
              <m:rPr>
                <m:sty m:val="b"/>
              </m:rPr>
              <m:t>Z</m:t>
            </m:r>
          </m:e>
          <m:sub>
            <m:r>
              <m:t>k</m:t>
            </m:r>
          </m:sub>
        </m:sSub>
      </m:oMath>
      <w:r>
        <w:t xml:space="preserve">，其第一右奇异向量给出最大投影能量方向，即求解</w:t>
      </w:r>
    </w:p>
    <w:p>
      <w:pPr>
        <w:pStyle w:val="BodyText"/>
      </w:pPr>
      <m:oMathPara>
        <m:oMathParaPr>
          <m:jc m:val="center"/>
        </m:oMathParaPr>
        <m:oMath>
          <m:limLow>
            <m:e>
              <m:r>
                <m:rPr>
                  <m:sty m:val="p"/>
                </m:rPr>
                <m:t>max</m:t>
              </m:r>
            </m:e>
            <m:lim>
              <m:r>
                <m:rPr>
                  <m:sty m:val="p"/>
                </m:rPr>
                <m:t>∥</m:t>
              </m:r>
              <m:r>
                <m:rPr>
                  <m:sty m:val="b"/>
                </m:rPr>
                <m:t>u</m:t>
              </m:r>
              <m:r>
                <m:rPr>
                  <m:sty m:val="p"/>
                </m:rPr>
                <m:t>∥</m:t>
              </m:r>
              <m:r>
                <m:rPr>
                  <m:sty m:val="p"/>
                </m:rPr>
                <m:t>=</m:t>
              </m:r>
              <m:r>
                <m:t>1</m:t>
              </m:r>
            </m:lim>
          </m:limLow>
          <m:r>
            <m:rPr>
              <m:sty m:val="p"/>
            </m:rPr>
            <m:t>∥</m:t>
          </m:r>
          <m:sSub>
            <m:e>
              <m:r>
                <m:rPr>
                  <m:sty m:val="b"/>
                </m:rPr>
                <m:t>Z</m:t>
              </m:r>
            </m:e>
            <m:sub>
              <m:r>
                <m:t>k</m:t>
              </m:r>
            </m:sub>
          </m:sSub>
          <m:r>
            <m:rPr>
              <m:sty m:val="b"/>
            </m:rPr>
            <m:t>u</m:t>
          </m:r>
          <m:sSup>
            <m:e>
              <m:r>
                <m:rPr>
                  <m:sty m:val="p"/>
                </m:rPr>
                <m:t>∥</m:t>
              </m:r>
            </m:e>
            <m:sup>
              <m:r>
                <m:t>2</m:t>
              </m:r>
            </m:sup>
          </m:sSup>
          <m:r>
            <m:rPr>
              <m:sty m:val="p"/>
            </m:rPr>
            <m:t>.</m:t>
          </m:r>
        </m:oMath>
      </m:oMathPara>
    </w:p>
    <w:p>
      <w:pPr>
        <w:pStyle w:val="FirstParagraph"/>
      </w:pPr>
      <w:r>
        <w:t xml:space="preserve">实现通过奇异向量求解，并将符号朝向簇内多数点。重复分配和方向更新，直到方向变化满足收敛阈值或达到最大迭代次数。初始化采用上游</w:t>
      </w:r>
      <w:r>
        <w:rPr>
          <w:rStyle w:val="VerbatimChar"/>
        </w:rPr>
        <w:t xml:space="preserve">kmeanspp</w:t>
      </w:r>
      <w:r>
        <w:t xml:space="preserve">方式。本次LM初始方向数为8，收敛阈值为0.001°，最大迭代次数为50。</w:t>
      </w:r>
    </w:p>
    <w:bookmarkEnd w:id="31"/>
    <w:bookmarkStart w:id="32" w:name="拆分合并与簇数变化"/>
    <w:p>
      <w:pPr>
        <w:pStyle w:val="Heading2"/>
      </w:pPr>
      <w:r>
        <w:t xml:space="preserve">3.4 拆分、合并与簇数变化</w:t>
      </w:r>
    </w:p>
    <w:p>
      <w:pPr>
        <w:pStyle w:val="FirstParagraph"/>
      </w:pPr>
      <w:r>
        <w:t xml:space="preserve">两个方向的夹角为</w:t>
      </w:r>
    </w:p>
    <w:p>
      <w:pPr>
        <w:pStyle w:val="BodyText"/>
      </w:pPr>
      <m:oMathPara>
        <m:oMathParaPr>
          <m:jc m:val="center"/>
        </m:oMathParaPr>
        <m:oMath>
          <m:sSub>
            <m:e>
              <m:r>
                <m:t>θ</m:t>
              </m:r>
            </m:e>
            <m:sub>
              <m:r>
                <m:t>a</m:t>
              </m:r>
              <m:r>
                <m:t>b</m:t>
              </m:r>
            </m:sub>
          </m:sSub>
          <m:r>
            <m:rPr>
              <m:sty m:val="p"/>
            </m:rPr>
            <m:t>=</m:t>
          </m:r>
          <m:r>
            <m:rPr>
              <m:sty m:val="p"/>
            </m:rPr>
            <m:t>arccos</m:t>
          </m:r>
          <m:d>
            <m:dPr>
              <m:begChr m:val="("/>
              <m:endChr m:val=")"/>
              <m:sepChr m:val=""/>
              <m:grow/>
            </m:dPr>
            <m:e>
              <m:f>
                <m:fPr>
                  <m:type m:val="bar"/>
                </m:fPr>
                <m:num>
                  <m:sSubSup>
                    <m:e>
                      <m:r>
                        <m:rPr>
                          <m:sty m:val="b"/>
                        </m:rPr>
                        <m:t>u</m:t>
                      </m:r>
                    </m:e>
                    <m:sub>
                      <m:r>
                        <m:t>a</m:t>
                      </m:r>
                    </m:sub>
                    <m:sup>
                      <m:r>
                        <m:rPr>
                          <m:sty m:val="p"/>
                          <m:scr m:val="sans-serif"/>
                        </m:rPr>
                        <m:t>T</m:t>
                      </m:r>
                    </m:sup>
                  </m:sSubSup>
                  <m:sSub>
                    <m:e>
                      <m:r>
                        <m:rPr>
                          <m:sty m:val="b"/>
                        </m:rPr>
                        <m:t>u</m:t>
                      </m:r>
                    </m:e>
                    <m:sub>
                      <m:r>
                        <m:t>b</m:t>
                      </m:r>
                    </m:sub>
                  </m:sSub>
                </m:num>
                <m:den>
                  <m:r>
                    <m:rPr>
                      <m:sty m:val="p"/>
                    </m:rPr>
                    <m:t>∥</m:t>
                  </m:r>
                  <m:sSub>
                    <m:e>
                      <m:r>
                        <m:rPr>
                          <m:sty m:val="b"/>
                        </m:rPr>
                        <m:t>u</m:t>
                      </m:r>
                    </m:e>
                    <m:sub>
                      <m:r>
                        <m:t>a</m:t>
                      </m:r>
                    </m:sub>
                  </m:sSub>
                  <m:r>
                    <m:rPr>
                      <m:sty m:val="p"/>
                    </m:rPr>
                    <m:t>∥</m:t>
                  </m:r>
                  <m:r>
                    <m:rPr>
                      <m:sty m:val="p"/>
                    </m:rPr>
                    <m:t>∥</m:t>
                  </m:r>
                  <m:sSub>
                    <m:e>
                      <m:r>
                        <m:rPr>
                          <m:sty m:val="b"/>
                        </m:rPr>
                        <m:t>u</m:t>
                      </m:r>
                    </m:e>
                    <m:sub>
                      <m:r>
                        <m:t>b</m:t>
                      </m:r>
                    </m:sub>
                  </m:sSub>
                  <m:r>
                    <m:rPr>
                      <m:sty m:val="p"/>
                    </m:rPr>
                    <m:t>∥</m:t>
                  </m:r>
                </m:den>
              </m:f>
            </m:e>
          </m:d>
          <m:r>
            <m:rPr>
              <m:sty m:val="p"/>
            </m:rPr>
            <m:t>.</m:t>
          </m:r>
        </m:oMath>
      </m:oMathPara>
    </w:p>
    <w:p>
      <w:pPr>
        <w:pStyle w:val="FirstParagraph"/>
      </w:pPr>
      <w:r>
        <w:t xml:space="preserve">方向聚类的外层过程根据方向接近程度、簇内候选子方向的分离程度及最小细胞数条件实施合并和拆分。本文显式设置角阈值55°、最小簇细胞数20。算法随迭代调整方向数，因此初始8个方向最终得到7簇。完整历史记录每次迭代的成员和方向，用于绘制实际拆分合并图。</w:t>
      </w:r>
    </w:p>
    <w:bookmarkEnd w:id="32"/>
    <w:bookmarkStart w:id="33" w:name="基因分配与关联图"/>
    <w:p>
      <w:pPr>
        <w:pStyle w:val="Heading2"/>
      </w:pPr>
      <w:r>
        <w:t xml:space="preserve">3.5 基因分配与关联图</w:t>
      </w:r>
    </w:p>
    <w:p>
      <w:pPr>
        <w:pStyle w:val="FirstParagraph"/>
      </w:pPr>
      <w:r>
        <w:t xml:space="preserve">基因分配先根据基因主坐标向量长度筛选候选。</w:t>
      </w:r>
      <w:r>
        <w:rPr>
          <w:rStyle w:val="VerbatimChar"/>
        </w:rPr>
        <w:t xml:space="preserve">qcutoff=0.8</w:t>
      </w:r>
      <w:r>
        <w:t xml:space="preserve">保留长度达到80%分位点的基因，再在基因标准坐标下比较到细胞方向的距离并分配。本次6000个高变基因中有1200个获得簇分配；完整导出表对其余4800个基因保留NA。</w:t>
      </w:r>
    </w:p>
    <w:p>
      <w:pPr>
        <w:pStyle w:val="BodyText"/>
      </w:pPr>
      <w:r>
        <w:t xml:space="preserve">对一个给定方向</w:t>
      </w:r>
      <m:oMath>
        <m:r>
          <m:rPr>
            <m:sty m:val="b"/>
          </m:rPr>
          <m:t>u</m:t>
        </m:r>
      </m:oMath>
      <w:r>
        <w:t xml:space="preserve">，关联图将点</w:t>
      </w:r>
      <m:oMath>
        <m:r>
          <m:rPr>
            <m:sty m:val="b"/>
          </m:rPr>
          <m:t>z</m:t>
        </m:r>
      </m:oMath>
      <w:r>
        <w:t xml:space="preserve">转换为沿方向的投影和正交距离：</w:t>
      </w:r>
    </w:p>
    <w:p>
      <w:pPr>
        <w:pStyle w:val="BodyText"/>
      </w:pPr>
      <m:oMathPara>
        <m:oMathParaPr>
          <m:jc m:val="center"/>
        </m:oMathParaPr>
        <m:oMath>
          <m:r>
            <m:t>a</m:t>
          </m:r>
          <m:d>
            <m:dPr>
              <m:begChr m:val="("/>
              <m:endChr m:val=")"/>
              <m:sepChr m:val=""/>
              <m:grow/>
            </m:dPr>
            <m:e>
              <m:r>
                <m:rPr>
                  <m:sty m:val="b"/>
                </m:rPr>
                <m:t>z</m:t>
              </m:r>
            </m:e>
          </m:d>
          <m:r>
            <m:rPr>
              <m:sty m:val="p"/>
            </m:rPr>
            <m:t>=</m:t>
          </m:r>
          <m:f>
            <m:fPr>
              <m:type m:val="bar"/>
            </m:fPr>
            <m:num>
              <m:sSup>
                <m:e>
                  <m:r>
                    <m:rPr>
                      <m:sty m:val="b"/>
                    </m:rPr>
                    <m:t>z</m:t>
                  </m:r>
                </m:e>
                <m:sup>
                  <m:r>
                    <m:rPr>
                      <m:sty m:val="p"/>
                      <m:scr m:val="sans-serif"/>
                    </m:rPr>
                    <m:t>T</m:t>
                  </m:r>
                </m:sup>
              </m:sSup>
              <m:r>
                <m:rPr>
                  <m:sty m:val="b"/>
                </m:rPr>
                <m:t>u</m:t>
              </m:r>
            </m:num>
            <m:den>
              <m:r>
                <m:rPr>
                  <m:sty m:val="p"/>
                </m:rPr>
                <m:t>∥</m:t>
              </m:r>
              <m:r>
                <m:rPr>
                  <m:sty m:val="b"/>
                </m:rPr>
                <m:t>u</m:t>
              </m:r>
              <m:r>
                <m:rPr>
                  <m:sty m:val="p"/>
                </m:rPr>
                <m:t>∥</m:t>
              </m:r>
            </m:den>
          </m:f>
          <m:r>
            <m:rPr>
              <m:sty m:val="p"/>
            </m:rPr>
            <m:t>,</m:t>
          </m:r>
          <m:r>
            <m:t>  </m:t>
          </m:r>
          <m:r>
            <m:t>b</m:t>
          </m:r>
          <m:d>
            <m:dPr>
              <m:begChr m:val="("/>
              <m:endChr m:val=")"/>
              <m:sepChr m:val=""/>
              <m:grow/>
            </m:dPr>
            <m:e>
              <m:r>
                <m:rPr>
                  <m:sty m:val="b"/>
                </m:rPr>
                <m:t>z</m:t>
              </m:r>
            </m:e>
          </m:d>
          <m:r>
            <m:rPr>
              <m:sty m:val="p"/>
            </m:rPr>
            <m:t>=</m:t>
          </m:r>
          <m:rad>
            <m:radPr>
              <m:degHide m:val="on"/>
            </m:radPr>
            <m:deg/>
            <m:e>
              <m:r>
                <m:rPr>
                  <m:sty m:val="p"/>
                </m:rPr>
                <m:t>max</m:t>
              </m:r>
              <m:r>
                <m:rPr>
                  <m:sty m:val="p"/>
                </m:rPr>
                <m:t>{</m:t>
              </m:r>
              <m:r>
                <m:t>0</m:t>
              </m:r>
              <m:r>
                <m:rPr>
                  <m:sty m:val="p"/>
                </m:rPr>
                <m:t>,</m:t>
              </m:r>
              <m:r>
                <m:rPr>
                  <m:sty m:val="p"/>
                </m:rPr>
                <m:t>∥</m:t>
              </m:r>
              <m:r>
                <m:rPr>
                  <m:sty m:val="b"/>
                </m:rPr>
                <m:t>z</m:t>
              </m:r>
              <m:sSup>
                <m:e>
                  <m:r>
                    <m:rPr>
                      <m:sty m:val="p"/>
                    </m:rPr>
                    <m:t>∥</m:t>
                  </m:r>
                </m:e>
                <m:sup>
                  <m:r>
                    <m:t>2</m:t>
                  </m:r>
                </m:sup>
              </m:sSup>
              <m:r>
                <m:rPr>
                  <m:sty m:val="p"/>
                </m:rPr>
                <m:t>−</m:t>
              </m:r>
              <m:r>
                <m:t>a</m:t>
              </m:r>
              <m:sSup>
                <m:e>
                  <m:d>
                    <m:dPr>
                      <m:begChr m:val="("/>
                      <m:endChr m:val=")"/>
                      <m:sepChr m:val=""/>
                      <m:grow/>
                    </m:dPr>
                    <m:e>
                      <m:r>
                        <m:rPr>
                          <m:sty m:val="b"/>
                        </m:rPr>
                        <m:t>z</m:t>
                      </m:r>
                    </m:e>
                  </m:d>
                </m:e>
                <m:sup>
                  <m:r>
                    <m:t>2</m:t>
                  </m:r>
                </m:sup>
              </m:sSup>
              <m:r>
                <m:rPr>
                  <m:sty m:val="p"/>
                </m:rPr>
                <m:t>}</m:t>
              </m:r>
            </m:e>
          </m:rad>
          <m:r>
            <m:rPr>
              <m:sty m:val="p"/>
            </m:rPr>
            <m:t>.</m:t>
          </m:r>
        </m:oMath>
      </m:oMathPara>
    </w:p>
    <w:p>
      <w:pPr>
        <w:pStyle w:val="FirstParagraph"/>
      </w:pPr>
      <w:r>
        <w:t xml:space="preserve">横坐标</w:t>
      </w:r>
      <m:oMath>
        <m:r>
          <m:t>a</m:t>
        </m:r>
      </m:oMath>
      <w:r>
        <w:t xml:space="preserve">越大表示沿该方向的投影越强，纵坐标</w:t>
      </w:r>
      <m:oMath>
        <m:r>
          <m:t>b</m:t>
        </m:r>
      </m:oMath>
      <w:r>
        <w:t xml:space="preserve">越小表示点越接近该方向。图中细胞的长条状分布反映方向集中程度，其他簇的投影可用于观察方向之间的几何关系。</w:t>
      </w:r>
    </w:p>
    <w:p>
      <w:pPr>
        <w:pStyle w:val="BodyText"/>
      </w:pPr>
      <w:r>
        <w:t xml:space="preserve">主坐标与标准坐标通过各轴奇异值相联系。展示标准坐标细胞时，方向按</w:t>
      </w:r>
      <m:oMath>
        <m:sSub>
          <m:e>
            <m:r>
              <m:rPr>
                <m:sty m:val="b"/>
              </m:rPr>
              <m:t>u</m:t>
            </m:r>
          </m:e>
          <m:sub>
            <m:r>
              <m:rPr>
                <m:sty m:val="p"/>
              </m:rPr>
              <m:t>s</m:t>
            </m:r>
            <m:r>
              <m:rPr>
                <m:sty m:val="p"/>
              </m:rPr>
              <m:t>t</m:t>
            </m:r>
            <m:r>
              <m:rPr>
                <m:sty m:val="p"/>
              </m:rPr>
              <m:t>d</m:t>
            </m:r>
          </m:sub>
        </m:sSub>
        <m:r>
          <m:rPr>
            <m:sty m:val="p"/>
          </m:rPr>
          <m:t>=</m:t>
        </m:r>
        <m:r>
          <m:rPr>
            <m:sty m:val="b"/>
          </m:rPr>
          <m:t>u</m:t>
        </m:r>
        <m:r>
          <m:rPr>
            <m:sty m:val="p"/>
          </m:rPr>
          <m:t>/</m:t>
        </m:r>
        <m:r>
          <m:rPr>
            <m:sty m:val="b"/>
          </m:rPr>
          <m:t>D</m:t>
        </m:r>
      </m:oMath>
      <w:r>
        <w:t xml:space="preserve">逐轴转换。该缩放改变不同维度的相对权重，因此标准坐标图与主坐标图呈现不同的方向夹角。</w:t>
      </w:r>
    </w:p>
    <w:bookmarkEnd w:id="33"/>
    <w:bookmarkStart w:id="34" w:name="基因排名与自动注释"/>
    <w:p>
      <w:pPr>
        <w:pStyle w:val="Heading2"/>
      </w:pPr>
      <w:r>
        <w:t xml:space="preserve">3.6 基因排名与自动注释</w:t>
      </w:r>
    </w:p>
    <w:p>
      <w:pPr>
        <w:pStyle w:val="FirstParagraph"/>
      </w:pPr>
      <w:r>
        <w:t xml:space="preserve">上游</w:t>
      </w:r>
      <w:r>
        <w:rPr>
          <w:rStyle w:val="VerbatimChar"/>
        </w:rPr>
        <w:t xml:space="preserve">rank_genes</w:t>
      </w:r>
      <w:r>
        <w:t xml:space="preserve">使用主坐标关联图计算基因得分：</w:t>
      </w:r>
    </w:p>
    <w:p>
      <w:pPr>
        <w:pStyle w:val="BodyText"/>
      </w:pPr>
      <m:oMathPara>
        <m:oMathParaPr>
          <m:jc m:val="center"/>
        </m:oMathParaPr>
        <m:oMath>
          <m:sSub>
            <m:e>
              <m:r>
                <m:t>S</m:t>
              </m:r>
            </m:e>
            <m:sub>
              <m:r>
                <m:t>α</m:t>
              </m:r>
            </m:sub>
          </m:sSub>
          <m:d>
            <m:dPr>
              <m:begChr m:val="("/>
              <m:endChr m:val=")"/>
              <m:sepChr m:val=""/>
              <m:grow/>
            </m:dPr>
            <m:e>
              <m:r>
                <m:t>i</m:t>
              </m:r>
              <m:r>
                <m:rPr>
                  <m:sty m:val="p"/>
                </m:rPr>
                <m:t>,</m:t>
              </m:r>
              <m:r>
                <m:t>k</m:t>
              </m:r>
            </m:e>
          </m:d>
          <m:r>
            <m:rPr>
              <m:sty m:val="p"/>
            </m:rPr>
            <m:t>=</m:t>
          </m:r>
          <m:sSub>
            <m:e>
              <m:r>
                <m:t>a</m:t>
              </m:r>
            </m:e>
            <m:sub>
              <m:r>
                <m:t>i</m:t>
              </m:r>
              <m:r>
                <m:t>k</m:t>
              </m:r>
            </m:sub>
          </m:sSub>
          <m:r>
            <m:rPr>
              <m:sty m:val="p"/>
            </m:rPr>
            <m:t>−</m:t>
          </m:r>
          <m:r>
            <m:t>α</m:t>
          </m:r>
          <m:sSub>
            <m:e>
              <m:r>
                <m:t>b</m:t>
              </m:r>
            </m:e>
            <m:sub>
              <m:r>
                <m:t>i</m:t>
              </m:r>
              <m:r>
                <m:t>k</m:t>
              </m:r>
            </m:sub>
          </m:sSub>
          <m:r>
            <m:rPr>
              <m:sty m:val="p"/>
            </m:rPr>
            <m:t>.</m:t>
          </m:r>
        </m:oMath>
      </m:oMathPara>
    </w:p>
    <w:p>
      <w:pPr>
        <w:pStyle w:val="FirstParagraph"/>
      </w:pPr>
      <w:r>
        <w:t xml:space="preserve">得分同时奖励沿方向的关联强度，并惩罚离开方向的距离。实际保存对象的</w:t>
      </w:r>
      <w:r>
        <w:rPr>
          <w:rStyle w:val="VerbatimChar"/>
        </w:rPr>
        <w:t xml:space="preserve">alpha_genes</w:t>
      </w:r>
      <w:r>
        <w:t xml:space="preserve">为1.07506446203775，完整1200个分数与排名随表导出。每簇top5按得分降序选取，图中标签展示真实前五名。</w:t>
      </w:r>
    </w:p>
    <w:p>
      <w:pPr>
        <w:pStyle w:val="BodyText"/>
      </w:pPr>
      <w:r>
        <w:t xml:space="preserve">自动注释采用CellMarker小鼠基因集进行基因过度代表分析（Gene Overrepresentation Analysis，GOA）。基因集与本次特征背景求交；背景采用上游实现构造的基因集覆盖并集。设该背景大小为</w:t>
      </w:r>
      <m:oMath>
        <m:r>
          <m:t>M</m:t>
        </m:r>
      </m:oMath>
      <w:r>
        <w:t xml:space="preserve">，某候选基因集大小为</w:t>
      </w:r>
      <m:oMath>
        <m:r>
          <m:t>K</m:t>
        </m:r>
      </m:oMath>
      <w:r>
        <w:t xml:space="preserve">，簇内参与富集的基因数为</w:t>
      </w:r>
      <m:oMath>
        <m:r>
          <m:t>n</m:t>
        </m:r>
      </m:oMath>
      <w:r>
        <w:t xml:space="preserve">，交集大小为</w:t>
      </w:r>
      <m:oMath>
        <m:r>
          <m:t>q</m:t>
        </m:r>
      </m:oMath>
      <w:r>
        <w:t xml:space="preserve">，超几何上尾概率为</w:t>
      </w:r>
    </w:p>
    <w:p>
      <w:pPr>
        <w:pStyle w:val="BodyText"/>
      </w:pPr>
      <m:oMathPara>
        <m:oMathParaPr>
          <m:jc m:val="center"/>
        </m:oMathParaPr>
        <m:oMath>
          <m:r>
            <m:t>p</m:t>
          </m:r>
          <m:r>
            <m:rPr>
              <m:sty m:val="p"/>
            </m:rPr>
            <m:t>=</m:t>
          </m:r>
          <m:nary>
            <m:naryPr>
              <m:chr m:val="∑"/>
              <m:limLoc m:val="undOvr"/>
              <m:subHide m:val="off"/>
              <m:supHide m:val="off"/>
            </m:naryPr>
            <m:sub>
              <m:r>
                <m:t>t</m:t>
              </m:r>
              <m:r>
                <m:rPr>
                  <m:sty m:val="p"/>
                </m:rPr>
                <m:t>=</m:t>
              </m:r>
              <m:r>
                <m:t>q</m:t>
              </m:r>
            </m:sub>
            <m:sup>
              <m:r>
                <m:rPr>
                  <m:sty m:val="p"/>
                </m:rPr>
                <m:t>min</m:t>
              </m:r>
              <m:d>
                <m:dPr>
                  <m:begChr m:val="("/>
                  <m:endChr m:val=")"/>
                  <m:sepChr m:val=""/>
                  <m:grow/>
                </m:dPr>
                <m:e>
                  <m:r>
                    <m:t>K</m:t>
                  </m:r>
                  <m:r>
                    <m:rPr>
                      <m:sty m:val="p"/>
                    </m:rPr>
                    <m:t>,</m:t>
                  </m:r>
                  <m:r>
                    <m:t>n</m:t>
                  </m:r>
                </m:e>
              </m:d>
            </m:sup>
            <m:e>
              <m:f>
                <m:fPr>
                  <m:type m:val="bar"/>
                </m:fPr>
                <m:num>
                  <m:d>
                    <m:dPr>
                      <m:begChr m:val="("/>
                      <m:endChr m:val=")"/>
                      <m:sepChr m:val=""/>
                      <m:grow/>
                    </m:dPr>
                    <m:e>
                      <m:f>
                        <m:fPr>
                          <m:type m:val="noBar"/>
                        </m:fPr>
                        <m:num>
                          <m:r>
                            <m:t>K</m:t>
                          </m:r>
                        </m:num>
                        <m:den>
                          <m:r>
                            <m:t>t</m:t>
                          </m:r>
                        </m:den>
                      </m:f>
                    </m:e>
                  </m:d>
                  <m:d>
                    <m:dPr>
                      <m:begChr m:val="("/>
                      <m:endChr m:val=")"/>
                      <m:sepChr m:val=""/>
                      <m:grow/>
                    </m:dPr>
                    <m:e>
                      <m:f>
                        <m:fPr>
                          <m:type m:val="noBar"/>
                        </m:fPr>
                        <m:num>
                          <m:r>
                            <m:t>M</m:t>
                          </m:r>
                          <m:r>
                            <m:rPr>
                              <m:sty m:val="p"/>
                            </m:rPr>
                            <m:t>−</m:t>
                          </m:r>
                          <m:r>
                            <m:t>K</m:t>
                          </m:r>
                        </m:num>
                        <m:den>
                          <m:r>
                            <m:t>n</m:t>
                          </m:r>
                          <m:r>
                            <m:rPr>
                              <m:sty m:val="p"/>
                            </m:rPr>
                            <m:t>−</m:t>
                          </m:r>
                          <m:r>
                            <m:t>t</m:t>
                          </m:r>
                        </m:den>
                      </m:f>
                    </m:e>
                  </m:d>
                </m:num>
                <m:den>
                  <m:d>
                    <m:dPr>
                      <m:begChr m:val="("/>
                      <m:endChr m:val=")"/>
                      <m:sepChr m:val=""/>
                      <m:grow/>
                    </m:dPr>
                    <m:e>
                      <m:f>
                        <m:fPr>
                          <m:type m:val="noBar"/>
                        </m:fPr>
                        <m:num>
                          <m:r>
                            <m:t>M</m:t>
                          </m:r>
                        </m:num>
                        <m:den>
                          <m:r>
                            <m:t>n</m:t>
                          </m:r>
                        </m:den>
                      </m:f>
                    </m:e>
                  </m:d>
                </m:den>
              </m:f>
            </m:e>
          </m:nary>
          <m:r>
            <m:rPr>
              <m:sty m:val="p"/>
            </m:rPr>
            <m:t>.</m:t>
          </m:r>
        </m:oMath>
      </m:oMathPara>
    </w:p>
    <w:p>
      <w:pPr>
        <w:pStyle w:val="FirstParagraph"/>
      </w:pPr>
      <w:r>
        <w:t xml:space="preserve">上游对参与比较的候选集进行Benjamini–Hochberg校正，再通过Hungarian分配确定簇与候选名称的对应。最终注释调用使用</w:t>
      </w:r>
      <w:r>
        <w:rPr>
          <w:rStyle w:val="VerbatimChar"/>
        </w:rPr>
        <w:t xml:space="preserve">cost="logpval"</w:t>
      </w:r>
      <w:r>
        <w:t xml:space="preserve">，历史图使用</w:t>
      </w:r>
      <w:r>
        <w:rPr>
          <w:rStyle w:val="VerbatimChar"/>
        </w:rPr>
        <w:t xml:space="preserve">cost="pval"</w:t>
      </w:r>
      <w:r>
        <w:t xml:space="preserve">；代码中的这两个目标分别来自校正概率的对数及校正概率。报告以“自动预测名称”和“原参考标签”分别描述两种信息。</w:t>
      </w:r>
    </w:p>
    <w:bookmarkEnd w:id="34"/>
    <w:bookmarkStart w:id="35" w:name="评价指标"/>
    <w:p>
      <w:pPr>
        <w:pStyle w:val="Heading2"/>
      </w:pPr>
      <w:r>
        <w:t xml:space="preserve">3.7 评价指标</w:t>
      </w:r>
    </w:p>
    <w:p>
      <w:pPr>
        <w:pStyle w:val="FirstParagraph"/>
      </w:pPr>
      <w:r>
        <w:t xml:space="preserve">设预测簇与参考类别构成列联表</w:t>
      </w:r>
      <m:oMath>
        <m:sSub>
          <m:e>
            <m:r>
              <m:t>n</m:t>
            </m:r>
          </m:e>
          <m:sub>
            <m:r>
              <m:t>i</m:t>
            </m:r>
            <m:r>
              <m:t>j</m:t>
            </m:r>
          </m:sub>
        </m:sSub>
      </m:oMath>
      <w:r>
        <w:t xml:space="preserve">，行和为</w:t>
      </w:r>
      <m:oMath>
        <m:sSub>
          <m:e>
            <m:r>
              <m:t>a</m:t>
            </m:r>
          </m:e>
          <m:sub>
            <m:r>
              <m:t>i</m:t>
            </m:r>
          </m:sub>
        </m:sSub>
      </m:oMath>
      <w:r>
        <w:t xml:space="preserve">，列和为</w:t>
      </w:r>
      <m:oMath>
        <m:sSub>
          <m:e>
            <m:r>
              <m:t>b</m:t>
            </m:r>
          </m:e>
          <m:sub>
            <m:r>
              <m:t>j</m:t>
            </m:r>
          </m:sub>
        </m:sSub>
      </m:oMath>
      <w:r>
        <w:t xml:space="preserve">，评价细胞数为</w:t>
      </w:r>
      <m:oMath>
        <m:r>
          <m:t>N</m:t>
        </m:r>
      </m:oMath>
      <w:r>
        <w:t xml:space="preserve">，则</w:t>
      </w:r>
    </w:p>
    <w:p>
      <w:pPr>
        <w:pStyle w:val="BodyText"/>
      </w:pPr>
      <m:oMathPara>
        <m:oMathParaPr>
          <m:jc m:val="center"/>
        </m:oMathParaPr>
        <m:oMath>
          <m:r>
            <m:rPr>
              <m:sty m:val="p"/>
            </m:rPr>
            <m:t>A</m:t>
          </m:r>
          <m:r>
            <m:rPr>
              <m:sty m:val="p"/>
            </m:rPr>
            <m:t>R</m:t>
          </m:r>
          <m:r>
            <m:rPr>
              <m:sty m:val="p"/>
            </m:rPr>
            <m:t>I</m:t>
          </m:r>
          <m:r>
            <m:rPr>
              <m:sty m:val="p"/>
            </m:rPr>
            <m:t>=</m:t>
          </m:r>
          <m:f>
            <m:fPr>
              <m:type m:val="bar"/>
            </m:fPr>
            <m:num>
              <m:nary>
                <m:naryPr>
                  <m:chr m:val="∑"/>
                  <m:limLoc m:val="undOvr"/>
                  <m:subHide m:val="off"/>
                  <m:supHide m:val="on"/>
                </m:naryPr>
                <m:sub>
                  <m:r>
                    <m:t>i</m:t>
                  </m:r>
                  <m:r>
                    <m:t>j</m:t>
                  </m:r>
                </m:sub>
                <m:sup>
                  <m:r>
                    <m:t>​</m:t>
                  </m:r>
                </m:sup>
                <m:e>
                  <m:d>
                    <m:dPr>
                      <m:begChr m:val="("/>
                      <m:endChr m:val=")"/>
                      <m:sepChr m:val=""/>
                      <m:grow/>
                    </m:dPr>
                    <m:e>
                      <m:f>
                        <m:fPr>
                          <m:type m:val="noBar"/>
                        </m:fPr>
                        <m:num>
                          <m:sSub>
                            <m:e>
                              <m:r>
                                <m:t>n</m:t>
                              </m:r>
                            </m:e>
                            <m:sub>
                              <m:r>
                                <m:t>i</m:t>
                              </m:r>
                              <m:r>
                                <m:t>j</m:t>
                              </m:r>
                            </m:sub>
                          </m:sSub>
                        </m:num>
                        <m:den>
                          <m:r>
                            <m:t>2</m:t>
                          </m:r>
                        </m:den>
                      </m:f>
                    </m:e>
                  </m:d>
                </m:e>
              </m:nary>
              <m:r>
                <m:rPr>
                  <m:sty m:val="p"/>
                </m:rPr>
                <m:t>−</m:t>
              </m:r>
              <m:f>
                <m:fPr>
                  <m:type m:val="bar"/>
                </m:fPr>
                <m:num>
                  <m:nary>
                    <m:naryPr>
                      <m:chr m:val="∑"/>
                      <m:limLoc m:val="undOvr"/>
                      <m:subHide m:val="off"/>
                      <m:supHide m:val="on"/>
                    </m:naryPr>
                    <m:sub>
                      <m:r>
                        <m:t>i</m:t>
                      </m:r>
                    </m:sub>
                    <m:sup>
                      <m:r>
                        <m:t>​</m:t>
                      </m:r>
                    </m:sup>
                    <m:e>
                      <m:d>
                        <m:dPr>
                          <m:begChr m:val="("/>
                          <m:endChr m:val=")"/>
                          <m:sepChr m:val=""/>
                          <m:grow/>
                        </m:dPr>
                        <m:e>
                          <m:f>
                            <m:fPr>
                              <m:type m:val="noBar"/>
                            </m:fPr>
                            <m:num>
                              <m:sSub>
                                <m:e>
                                  <m:r>
                                    <m:t>a</m:t>
                                  </m:r>
                                </m:e>
                                <m:sub>
                                  <m:r>
                                    <m:t>i</m:t>
                                  </m:r>
                                </m:sub>
                              </m:sSub>
                            </m:num>
                            <m:den>
                              <m:r>
                                <m:t>2</m:t>
                              </m:r>
                            </m:den>
                          </m:f>
                        </m:e>
                      </m:d>
                    </m:e>
                  </m:nary>
                  <m:nary>
                    <m:naryPr>
                      <m:chr m:val="∑"/>
                      <m:limLoc m:val="undOvr"/>
                      <m:subHide m:val="off"/>
                      <m:supHide m:val="on"/>
                    </m:naryPr>
                    <m:sub>
                      <m:r>
                        <m:t>j</m:t>
                      </m:r>
                    </m:sub>
                    <m:sup>
                      <m:r>
                        <m:t>​</m:t>
                      </m:r>
                    </m:sup>
                    <m:e>
                      <m:d>
                        <m:dPr>
                          <m:begChr m:val="("/>
                          <m:endChr m:val=")"/>
                          <m:sepChr m:val=""/>
                          <m:grow/>
                        </m:dPr>
                        <m:e>
                          <m:f>
                            <m:fPr>
                              <m:type m:val="noBar"/>
                            </m:fPr>
                            <m:num>
                              <m:sSub>
                                <m:e>
                                  <m:r>
                                    <m:t>b</m:t>
                                  </m:r>
                                </m:e>
                                <m:sub>
                                  <m:r>
                                    <m:t>j</m:t>
                                  </m:r>
                                </m:sub>
                              </m:sSub>
                            </m:num>
                            <m:den>
                              <m:r>
                                <m:t>2</m:t>
                              </m:r>
                            </m:den>
                          </m:f>
                        </m:e>
                      </m:d>
                    </m:e>
                  </m:nary>
                </m:num>
                <m:den>
                  <m:d>
                    <m:dPr>
                      <m:begChr m:val="("/>
                      <m:endChr m:val=")"/>
                      <m:sepChr m:val=""/>
                      <m:grow/>
                    </m:dPr>
                    <m:e>
                      <m:f>
                        <m:fPr>
                          <m:type m:val="noBar"/>
                        </m:fPr>
                        <m:num>
                          <m:r>
                            <m:t>N</m:t>
                          </m:r>
                        </m:num>
                        <m:den>
                          <m:r>
                            <m:t>2</m:t>
                          </m:r>
                        </m:den>
                      </m:f>
                    </m:e>
                  </m:d>
                </m:den>
              </m:f>
            </m:num>
            <m:den>
              <m:f>
                <m:fPr>
                  <m:type m:val="bar"/>
                </m:fPr>
                <m:num>
                  <m:r>
                    <m:t>1</m:t>
                  </m:r>
                </m:num>
                <m:den>
                  <m:r>
                    <m:t>2</m:t>
                  </m:r>
                </m:den>
              </m:f>
              <m:d>
                <m:dPr>
                  <m:begChr m:val="["/>
                  <m:endChr m:val="]"/>
                  <m:sepChr m:val=""/>
                  <m:grow/>
                </m:dPr>
                <m:e>
                  <m:nary>
                    <m:naryPr>
                      <m:chr m:val="∑"/>
                      <m:limLoc m:val="undOvr"/>
                      <m:subHide m:val="off"/>
                      <m:supHide m:val="on"/>
                    </m:naryPr>
                    <m:sub>
                      <m:r>
                        <m:t>i</m:t>
                      </m:r>
                    </m:sub>
                    <m:sup>
                      <m:r>
                        <m:t>​</m:t>
                      </m:r>
                    </m:sup>
                    <m:e>
                      <m:d>
                        <m:dPr>
                          <m:begChr m:val="("/>
                          <m:endChr m:val=")"/>
                          <m:sepChr m:val=""/>
                          <m:grow/>
                        </m:dPr>
                        <m:e>
                          <m:f>
                            <m:fPr>
                              <m:type m:val="noBar"/>
                            </m:fPr>
                            <m:num>
                              <m:sSub>
                                <m:e>
                                  <m:r>
                                    <m:t>a</m:t>
                                  </m:r>
                                </m:e>
                                <m:sub>
                                  <m:r>
                                    <m:t>i</m:t>
                                  </m:r>
                                </m:sub>
                              </m:sSub>
                            </m:num>
                            <m:den>
                              <m:r>
                                <m:t>2</m:t>
                              </m:r>
                            </m:den>
                          </m:f>
                        </m:e>
                      </m:d>
                    </m:e>
                  </m:nary>
                  <m:r>
                    <m:rPr>
                      <m:sty m:val="p"/>
                    </m:rPr>
                    <m:t>+</m:t>
                  </m:r>
                  <m:nary>
                    <m:naryPr>
                      <m:chr m:val="∑"/>
                      <m:limLoc m:val="undOvr"/>
                      <m:subHide m:val="off"/>
                      <m:supHide m:val="on"/>
                    </m:naryPr>
                    <m:sub>
                      <m:r>
                        <m:t>j</m:t>
                      </m:r>
                    </m:sub>
                    <m:sup>
                      <m:r>
                        <m:t>​</m:t>
                      </m:r>
                    </m:sup>
                    <m:e>
                      <m:d>
                        <m:dPr>
                          <m:begChr m:val="("/>
                          <m:endChr m:val=")"/>
                          <m:sepChr m:val=""/>
                          <m:grow/>
                        </m:dPr>
                        <m:e>
                          <m:f>
                            <m:fPr>
                              <m:type m:val="noBar"/>
                            </m:fPr>
                            <m:num>
                              <m:sSub>
                                <m:e>
                                  <m:r>
                                    <m:t>b</m:t>
                                  </m:r>
                                </m:e>
                                <m:sub>
                                  <m:r>
                                    <m:t>j</m:t>
                                  </m:r>
                                </m:sub>
                              </m:sSub>
                            </m:num>
                            <m:den>
                              <m:r>
                                <m:t>2</m:t>
                              </m:r>
                            </m:den>
                          </m:f>
                        </m:e>
                      </m:d>
                    </m:e>
                  </m:nary>
                </m:e>
              </m:d>
              <m:r>
                <m:rPr>
                  <m:sty m:val="p"/>
                </m:rPr>
                <m:t>−</m:t>
              </m:r>
              <m:f>
                <m:fPr>
                  <m:type m:val="bar"/>
                </m:fPr>
                <m:num>
                  <m:nary>
                    <m:naryPr>
                      <m:chr m:val="∑"/>
                      <m:limLoc m:val="undOvr"/>
                      <m:subHide m:val="off"/>
                      <m:supHide m:val="on"/>
                    </m:naryPr>
                    <m:sub>
                      <m:r>
                        <m:t>i</m:t>
                      </m:r>
                    </m:sub>
                    <m:sup>
                      <m:r>
                        <m:t>​</m:t>
                      </m:r>
                    </m:sup>
                    <m:e>
                      <m:d>
                        <m:dPr>
                          <m:begChr m:val="("/>
                          <m:endChr m:val=")"/>
                          <m:sepChr m:val=""/>
                          <m:grow/>
                        </m:dPr>
                        <m:e>
                          <m:f>
                            <m:fPr>
                              <m:type m:val="noBar"/>
                            </m:fPr>
                            <m:num>
                              <m:sSub>
                                <m:e>
                                  <m:r>
                                    <m:t>a</m:t>
                                  </m:r>
                                </m:e>
                                <m:sub>
                                  <m:r>
                                    <m:t>i</m:t>
                                  </m:r>
                                </m:sub>
                              </m:sSub>
                            </m:num>
                            <m:den>
                              <m:r>
                                <m:t>2</m:t>
                              </m:r>
                            </m:den>
                          </m:f>
                        </m:e>
                      </m:d>
                    </m:e>
                  </m:nary>
                  <m:nary>
                    <m:naryPr>
                      <m:chr m:val="∑"/>
                      <m:limLoc m:val="undOvr"/>
                      <m:subHide m:val="off"/>
                      <m:supHide m:val="on"/>
                    </m:naryPr>
                    <m:sub>
                      <m:r>
                        <m:t>j</m:t>
                      </m:r>
                    </m:sub>
                    <m:sup>
                      <m:r>
                        <m:t>​</m:t>
                      </m:r>
                    </m:sup>
                    <m:e>
                      <m:d>
                        <m:dPr>
                          <m:begChr m:val="("/>
                          <m:endChr m:val=")"/>
                          <m:sepChr m:val=""/>
                          <m:grow/>
                        </m:dPr>
                        <m:e>
                          <m:f>
                            <m:fPr>
                              <m:type m:val="noBar"/>
                            </m:fPr>
                            <m:num>
                              <m:sSub>
                                <m:e>
                                  <m:r>
                                    <m:t>b</m:t>
                                  </m:r>
                                </m:e>
                                <m:sub>
                                  <m:r>
                                    <m:t>j</m:t>
                                  </m:r>
                                </m:sub>
                              </m:sSub>
                            </m:num>
                            <m:den>
                              <m:r>
                                <m:t>2</m:t>
                              </m:r>
                            </m:den>
                          </m:f>
                        </m:e>
                      </m:d>
                    </m:e>
                  </m:nary>
                </m:num>
                <m:den>
                  <m:d>
                    <m:dPr>
                      <m:begChr m:val="("/>
                      <m:endChr m:val=")"/>
                      <m:sepChr m:val=""/>
                      <m:grow/>
                    </m:dPr>
                    <m:e>
                      <m:f>
                        <m:fPr>
                          <m:type m:val="noBar"/>
                        </m:fPr>
                        <m:num>
                          <m:r>
                            <m:t>N</m:t>
                          </m:r>
                        </m:num>
                        <m:den>
                          <m:r>
                            <m:t>2</m:t>
                          </m:r>
                        </m:den>
                      </m:f>
                    </m:e>
                  </m:d>
                </m:den>
              </m:f>
            </m:den>
          </m:f>
          <m:r>
            <m:rPr>
              <m:sty m:val="p"/>
            </m:rPr>
            <m:t>.</m:t>
          </m:r>
        </m:oMath>
      </m:oMathPara>
    </w:p>
    <w:p>
      <w:pPr>
        <w:pStyle w:val="FirstParagraph"/>
      </w:pPr>
      <w:r>
        <w:t xml:space="preserve">令</w:t>
      </w:r>
      <m:oMath>
        <m:sSub>
          <m:e>
            <m:r>
              <m:t>p</m:t>
            </m:r>
          </m:e>
          <m:sub>
            <m:r>
              <m:t>i</m:t>
            </m:r>
            <m:r>
              <m:t>j</m:t>
            </m:r>
          </m:sub>
        </m:sSub>
        <m:r>
          <m:rPr>
            <m:sty m:val="p"/>
          </m:rPr>
          <m:t>=</m:t>
        </m:r>
        <m:sSub>
          <m:e>
            <m:r>
              <m:t>n</m:t>
            </m:r>
          </m:e>
          <m:sub>
            <m:r>
              <m:t>i</m:t>
            </m:r>
            <m:r>
              <m:t>j</m:t>
            </m:r>
          </m:sub>
        </m:sSub>
        <m:r>
          <m:rPr>
            <m:sty m:val="p"/>
          </m:rPr>
          <m:t>/</m:t>
        </m:r>
        <m:r>
          <m:t>N</m:t>
        </m:r>
      </m:oMath>
      <w:r>
        <w:t xml:space="preserve">、</w:t>
      </w:r>
      <m:oMath>
        <m:sSub>
          <m:e>
            <m:r>
              <m:t>p</m:t>
            </m:r>
          </m:e>
          <m:sub>
            <m:r>
              <m:t>i</m:t>
            </m:r>
          </m:sub>
        </m:sSub>
        <m:r>
          <m:rPr>
            <m:sty m:val="p"/>
          </m:rPr>
          <m:t>=</m:t>
        </m:r>
        <m:sSub>
          <m:e>
            <m:r>
              <m:t>a</m:t>
            </m:r>
          </m:e>
          <m:sub>
            <m:r>
              <m:t>i</m:t>
            </m:r>
          </m:sub>
        </m:sSub>
        <m:r>
          <m:rPr>
            <m:sty m:val="p"/>
          </m:rPr>
          <m:t>/</m:t>
        </m:r>
        <m:r>
          <m:t>N</m:t>
        </m:r>
      </m:oMath>
      <w:r>
        <w:t xml:space="preserve">、</w:t>
      </w:r>
      <m:oMath>
        <m:sSub>
          <m:e>
            <m:r>
              <m:t>p</m:t>
            </m:r>
          </m:e>
          <m:sub>
            <m:r>
              <m:t>j</m:t>
            </m:r>
          </m:sub>
        </m:sSub>
        <m:r>
          <m:rPr>
            <m:sty m:val="p"/>
          </m:rPr>
          <m:t>=</m:t>
        </m:r>
        <m:sSub>
          <m:e>
            <m:r>
              <m:t>b</m:t>
            </m:r>
          </m:e>
          <m:sub>
            <m:r>
              <m:t>j</m:t>
            </m:r>
          </m:sub>
        </m:sSub>
        <m:r>
          <m:rPr>
            <m:sty m:val="p"/>
          </m:rPr>
          <m:t>/</m:t>
        </m:r>
        <m:r>
          <m:t>N</m:t>
        </m:r>
      </m:oMath>
      <w:r>
        <w:t xml:space="preserve">，互信息与本文NMI定义为</w:t>
      </w:r>
    </w:p>
    <w:p>
      <w:pPr>
        <w:pStyle w:val="BodyText"/>
      </w:pPr>
      <m:oMathPara>
        <m:oMathParaPr>
          <m:jc m:val="center"/>
        </m:oMathParaPr>
        <m:oMath>
          <m:r>
            <m:t>I</m:t>
          </m:r>
          <m:d>
            <m:dPr>
              <m:begChr m:val="("/>
              <m:endChr m:val=")"/>
              <m:sepChr m:val=""/>
              <m:grow/>
            </m:dPr>
            <m:e>
              <m:r>
                <m:t>C</m:t>
              </m:r>
              <m:r>
                <m:rPr>
                  <m:sty m:val="p"/>
                </m:rPr>
                <m:t>;</m:t>
              </m:r>
              <m:r>
                <m:t>Y</m:t>
              </m:r>
            </m:e>
          </m:d>
          <m:r>
            <m:rPr>
              <m:sty m:val="p"/>
            </m:rPr>
            <m:t>=</m:t>
          </m:r>
          <m:nary>
            <m:naryPr>
              <m:chr m:val="∑"/>
              <m:limLoc m:val="undOvr"/>
              <m:subHide m:val="off"/>
              <m:supHide m:val="on"/>
            </m:naryPr>
            <m:sub>
              <m:r>
                <m:t>i</m:t>
              </m:r>
              <m:r>
                <m:t>j</m:t>
              </m:r>
              <m:r>
                <m:rPr>
                  <m:sty m:val="p"/>
                </m:rPr>
                <m:t>:</m:t>
              </m:r>
              <m:sSub>
                <m:e>
                  <m:r>
                    <m:t>p</m:t>
                  </m:r>
                </m:e>
                <m:sub>
                  <m:r>
                    <m:t>i</m:t>
                  </m:r>
                  <m:r>
                    <m:t>j</m:t>
                  </m:r>
                </m:sub>
              </m:sSub>
              <m:r>
                <m:rPr>
                  <m:sty m:val="p"/>
                </m:rPr>
                <m:t>&gt;</m:t>
              </m:r>
              <m:r>
                <m:t>0</m:t>
              </m:r>
            </m:sub>
            <m:sup>
              <m:r>
                <m:t>​</m:t>
              </m:r>
            </m:sup>
            <m:e>
              <m:sSub>
                <m:e>
                  <m:r>
                    <m:t>p</m:t>
                  </m:r>
                </m:e>
                <m:sub>
                  <m:r>
                    <m:t>i</m:t>
                  </m:r>
                  <m:r>
                    <m:t>j</m:t>
                  </m:r>
                </m:sub>
              </m:sSub>
            </m:e>
          </m:nary>
          <m:r>
            <m:rPr>
              <m:sty m:val="p"/>
            </m:rPr>
            <m:t>log</m:t>
          </m:r>
          <m:f>
            <m:fPr>
              <m:type m:val="bar"/>
            </m:fPr>
            <m:num>
              <m:sSub>
                <m:e>
                  <m:r>
                    <m:t>p</m:t>
                  </m:r>
                </m:e>
                <m:sub>
                  <m:r>
                    <m:t>i</m:t>
                  </m:r>
                  <m:r>
                    <m:t>j</m:t>
                  </m:r>
                </m:sub>
              </m:sSub>
            </m:num>
            <m:den>
              <m:sSub>
                <m:e>
                  <m:r>
                    <m:t>p</m:t>
                  </m:r>
                </m:e>
                <m:sub>
                  <m:r>
                    <m:t>i</m:t>
                  </m:r>
                </m:sub>
              </m:sSub>
              <m:sSub>
                <m:e>
                  <m:r>
                    <m:t>p</m:t>
                  </m:r>
                </m:e>
                <m:sub>
                  <m:r>
                    <m:t>j</m:t>
                  </m:r>
                </m:sub>
              </m:sSub>
            </m:den>
          </m:f>
          <m:r>
            <m:rPr>
              <m:sty m:val="p"/>
            </m:rPr>
            <m:t>,</m:t>
          </m:r>
          <m:r>
            <m:t>  </m:t>
          </m:r>
          <m:sSub>
            <m:e>
              <m:r>
                <m:rPr>
                  <m:sty m:val="p"/>
                </m:rPr>
                <m:t>N</m:t>
              </m:r>
              <m:r>
                <m:rPr>
                  <m:sty m:val="p"/>
                </m:rPr>
                <m:t>M</m:t>
              </m:r>
              <m:r>
                <m:rPr>
                  <m:sty m:val="p"/>
                </m:rPr>
                <m:t>I</m:t>
              </m:r>
            </m:e>
            <m:sub>
              <m:r>
                <m:rPr>
                  <m:sty m:val="p"/>
                </m:rPr>
                <m:t>max</m:t>
              </m:r>
            </m:sub>
          </m:sSub>
          <m:r>
            <m:rPr>
              <m:sty m:val="p"/>
            </m:rPr>
            <m:t>=</m:t>
          </m:r>
          <m:f>
            <m:fPr>
              <m:type m:val="bar"/>
            </m:fPr>
            <m:num>
              <m:r>
                <m:t>I</m:t>
              </m:r>
              <m:d>
                <m:dPr>
                  <m:begChr m:val="("/>
                  <m:endChr m:val=")"/>
                  <m:sepChr m:val=""/>
                  <m:grow/>
                </m:dPr>
                <m:e>
                  <m:r>
                    <m:t>C</m:t>
                  </m:r>
                  <m:r>
                    <m:rPr>
                      <m:sty m:val="p"/>
                    </m:rPr>
                    <m:t>;</m:t>
                  </m:r>
                  <m:r>
                    <m:t>Y</m:t>
                  </m:r>
                </m:e>
              </m:d>
            </m:num>
            <m:den>
              <m:r>
                <m:rPr>
                  <m:sty m:val="p"/>
                </m:rPr>
                <m:t>max</m:t>
              </m:r>
              <m:r>
                <m:rPr>
                  <m:sty m:val="p"/>
                </m:rPr>
                <m:t>{</m:t>
              </m:r>
              <m:r>
                <m:t>H</m:t>
              </m:r>
              <m:d>
                <m:dPr>
                  <m:begChr m:val="("/>
                  <m:endChr m:val=")"/>
                  <m:sepChr m:val=""/>
                  <m:grow/>
                </m:dPr>
                <m:e>
                  <m:r>
                    <m:t>C</m:t>
                  </m:r>
                </m:e>
              </m:d>
              <m:r>
                <m:rPr>
                  <m:sty m:val="p"/>
                </m:rPr>
                <m:t>,</m:t>
              </m:r>
              <m:r>
                <m:t>H</m:t>
              </m:r>
              <m:d>
                <m:dPr>
                  <m:begChr m:val="("/>
                  <m:endChr m:val=")"/>
                  <m:sepChr m:val=""/>
                  <m:grow/>
                </m:dPr>
                <m:e>
                  <m:r>
                    <m:t>Y</m:t>
                  </m:r>
                </m:e>
              </m:d>
              <m:r>
                <m:rPr>
                  <m:sty m:val="p"/>
                </m:rPr>
                <m:t>}</m:t>
              </m:r>
            </m:den>
          </m:f>
          <m:r>
            <m:rPr>
              <m:sty m:val="p"/>
            </m:rPr>
            <m:t>.</m:t>
          </m:r>
        </m:oMath>
      </m:oMathPara>
    </w:p>
    <w:p>
      <w:pPr>
        <w:pStyle w:val="FirstParagraph"/>
      </w:pPr>
      <w:r>
        <w:t xml:space="preserve">评价代码按明确细胞ID连接预测与参考。LM在1882个细胞上计算指标；HSC固定使用具有唯一broad参考标签的1641个细胞，另外15个QC合格细胞参与聚类。</w:t>
      </w:r>
    </w:p>
    <w:bookmarkEnd w:id="35"/>
    <w:bookmarkEnd w:id="36"/>
    <w:bookmarkStart w:id="41" w:name="实验环境与完整操作流程"/>
    <w:p>
      <w:pPr>
        <w:pStyle w:val="Heading1"/>
      </w:pPr>
      <w:r>
        <w:t xml:space="preserve">4 实验环境与完整操作流程</w:t>
      </w:r>
    </w:p>
    <w:bookmarkStart w:id="37" w:name="软件与资源"/>
    <w:p>
      <w:pPr>
        <w:pStyle w:val="Heading2"/>
      </w:pPr>
      <w:r>
        <w:t xml:space="preserve">4.1 软件与资源</w:t>
      </w:r>
    </w:p>
    <w:tbl>
      <w:tblPr>
        <w:tblStyle w:val="Table"/>
        <w:tblW w:type="auto" w:w="0"/>
        <w:jc w:val="left"/>
        <w:tblLayout w:type="fixed"/>
        <w:tblLook w:firstRow="1" w:lastRow="0" w:firstColumn="0" w:lastColumn="0" w:noHBand="0" w:noVBand="0" w:val="0020"/>
      </w:tblPr>
      <w:tblGrid>
        <w:gridCol w:w="3024"/>
        <w:gridCol w:w="3024"/>
        <w:gridCol w:w="3024"/>
      </w:tblGrid>
      <w:tr>
        <w:trPr>
          <w:tblHeader w:val="on"/>
          <w:cantSplit/>
          <w:tblHeader/>
        </w:trPr>
        <w:tc>
          <w:tcPr/>
          <w:p>
            <w:pPr>
              <w:pStyle w:val="Compact"/>
              <w:spacing w:after="40" w:line="264" w:lineRule="auto"/>
              <w:jc w:val="left"/>
            </w:pPr>
            <w:r>
              <w:rPr>
                <w:sz w:val="17"/>
              </w:rPr>
              <w:t xml:space="preserve">软件或配置</w:t>
            </w:r>
          </w:p>
        </w:tc>
        <w:tc>
          <w:tcPr/>
          <w:p>
            <w:pPr>
              <w:pStyle w:val="Compact"/>
              <w:spacing w:after="40" w:line="264" w:lineRule="auto"/>
              <w:jc w:val="left"/>
            </w:pPr>
            <w:r>
              <w:rPr>
                <w:sz w:val="17"/>
              </w:rPr>
              <w:t xml:space="preserve">LM实际运行</w:t>
            </w:r>
          </w:p>
        </w:tc>
        <w:tc>
          <w:tcPr/>
          <w:p>
            <w:pPr>
              <w:pStyle w:val="Compact"/>
              <w:spacing w:after="40" w:line="264" w:lineRule="auto"/>
              <w:jc w:val="left"/>
            </w:pPr>
            <w:r>
              <w:rPr>
                <w:sz w:val="17"/>
              </w:rPr>
              <w:t xml:space="preserve">HSC正式运行</w:t>
            </w:r>
          </w:p>
        </w:tc>
      </w:tr>
      <w:tr>
        <w:trPr>
          <w:cantSplit/>
        </w:trPr>
        <w:tc>
          <w:tcPr/>
          <w:p>
            <w:pPr>
              <w:pStyle w:val="Compact"/>
              <w:spacing w:after="40" w:line="264" w:lineRule="auto"/>
              <w:jc w:val="left"/>
            </w:pPr>
            <w:r>
              <w:rPr>
                <w:sz w:val="17"/>
              </w:rPr>
              <w:t xml:space="preserve">R</w:t>
            </w:r>
          </w:p>
        </w:tc>
        <w:tc>
          <w:tcPr/>
          <w:p>
            <w:pPr>
              <w:pStyle w:val="Compact"/>
              <w:spacing w:after="40" w:line="264" w:lineRule="auto"/>
              <w:jc w:val="left"/>
            </w:pPr>
            <w:r>
              <w:rPr>
                <w:sz w:val="17"/>
              </w:rPr>
              <w:t xml:space="preserve">4.4.1</w:t>
            </w:r>
          </w:p>
        </w:tc>
        <w:tc>
          <w:tcPr/>
          <w:p>
            <w:pPr>
              <w:pStyle w:val="Compact"/>
              <w:spacing w:after="40" w:line="264" w:lineRule="auto"/>
              <w:jc w:val="left"/>
            </w:pPr>
            <w:r>
              <w:rPr>
                <w:sz w:val="17"/>
              </w:rPr>
              <w:t xml:space="preserve">4.4.1</w:t>
            </w:r>
          </w:p>
        </w:tc>
      </w:tr>
      <w:tr>
        <w:trPr>
          <w:cantSplit/>
        </w:trPr>
        <w:tc>
          <w:tcPr/>
          <w:p>
            <w:pPr>
              <w:pStyle w:val="Compact"/>
              <w:spacing w:after="40" w:line="264" w:lineRule="auto"/>
              <w:jc w:val="left"/>
            </w:pPr>
            <w:r>
              <w:rPr>
                <w:sz w:val="17"/>
              </w:rPr>
              <w:t xml:space="preserve">Bioconductor</w:t>
            </w:r>
          </w:p>
        </w:tc>
        <w:tc>
          <w:tcPr/>
          <w:p>
            <w:pPr>
              <w:pStyle w:val="Compact"/>
              <w:spacing w:after="40" w:line="264" w:lineRule="auto"/>
              <w:jc w:val="left"/>
            </w:pPr>
            <w:r>
              <w:rPr>
                <w:sz w:val="17"/>
              </w:rPr>
              <w:t xml:space="preserve">3.19</w:t>
            </w:r>
          </w:p>
        </w:tc>
        <w:tc>
          <w:tcPr/>
          <w:p>
            <w:pPr>
              <w:pStyle w:val="Compact"/>
              <w:spacing w:after="40" w:line="264" w:lineRule="auto"/>
              <w:jc w:val="left"/>
            </w:pPr>
            <w:r>
              <w:rPr>
                <w:sz w:val="17"/>
              </w:rPr>
              <w:t xml:space="preserve">3.19</w:t>
            </w:r>
          </w:p>
        </w:tc>
      </w:tr>
      <w:tr>
        <w:trPr>
          <w:cantSplit/>
        </w:trPr>
        <w:tc>
          <w:tcPr/>
          <w:p>
            <w:pPr>
              <w:pStyle w:val="Compact"/>
              <w:spacing w:after="40" w:line="264" w:lineRule="auto"/>
              <w:jc w:val="left"/>
            </w:pPr>
            <w:r>
              <w:rPr>
                <w:sz w:val="17"/>
              </w:rPr>
              <w:t xml:space="preserve">CAdir</w:t>
            </w:r>
          </w:p>
        </w:tc>
        <w:tc>
          <w:tcPr/>
          <w:p>
            <w:pPr>
              <w:pStyle w:val="Compact"/>
              <w:spacing w:after="40" w:line="264" w:lineRule="auto"/>
              <w:jc w:val="left"/>
            </w:pPr>
            <w:r>
              <w:rPr>
                <w:sz w:val="17"/>
              </w:rPr>
              <w:t xml:space="preserve">0.0.99</w:t>
            </w:r>
          </w:p>
        </w:tc>
        <w:tc>
          <w:tcPr/>
          <w:p>
            <w:pPr>
              <w:pStyle w:val="Compact"/>
              <w:spacing w:after="40" w:line="264" w:lineRule="auto"/>
              <w:jc w:val="left"/>
            </w:pPr>
            <w:r>
              <w:rPr>
                <w:sz w:val="17"/>
              </w:rPr>
              <w:t xml:space="preserve">0.0.99</w:t>
            </w:r>
          </w:p>
        </w:tc>
      </w:tr>
      <w:tr>
        <w:trPr>
          <w:cantSplit/>
        </w:trPr>
        <w:tc>
          <w:tcPr/>
          <w:p>
            <w:pPr>
              <w:pStyle w:val="Compact"/>
              <w:spacing w:after="40" w:line="264" w:lineRule="auto"/>
              <w:jc w:val="left"/>
            </w:pPr>
            <w:r>
              <w:rPr>
                <w:sz w:val="17"/>
              </w:rPr>
              <w:t xml:space="preserve">APL</w:t>
            </w:r>
          </w:p>
        </w:tc>
        <w:tc>
          <w:tcPr/>
          <w:p>
            <w:pPr>
              <w:pStyle w:val="Compact"/>
              <w:spacing w:after="40" w:line="264" w:lineRule="auto"/>
              <w:jc w:val="left"/>
            </w:pPr>
            <w:r>
              <w:rPr>
                <w:sz w:val="17"/>
              </w:rPr>
              <w:t xml:space="preserve">1.9.1</w:t>
            </w:r>
          </w:p>
        </w:tc>
        <w:tc>
          <w:tcPr/>
          <w:p>
            <w:pPr>
              <w:pStyle w:val="Compact"/>
              <w:spacing w:after="40" w:line="264" w:lineRule="auto"/>
              <w:jc w:val="left"/>
            </w:pPr>
            <w:r>
              <w:rPr>
                <w:sz w:val="17"/>
              </w:rPr>
              <w:t xml:space="preserve">1.2.0</w:t>
            </w:r>
          </w:p>
        </w:tc>
      </w:tr>
      <w:tr>
        <w:trPr>
          <w:cantSplit/>
        </w:trPr>
        <w:tc>
          <w:tcPr/>
          <w:p>
            <w:pPr>
              <w:pStyle w:val="Compact"/>
              <w:spacing w:after="40" w:line="264" w:lineRule="auto"/>
              <w:jc w:val="left"/>
            </w:pPr>
            <w:r>
              <w:rPr>
                <w:sz w:val="17"/>
              </w:rPr>
              <w:t xml:space="preserve">SingleCellExperiment</w:t>
            </w:r>
          </w:p>
        </w:tc>
        <w:tc>
          <w:tcPr/>
          <w:p>
            <w:pPr>
              <w:pStyle w:val="Compact"/>
              <w:spacing w:after="40" w:line="264" w:lineRule="auto"/>
              <w:jc w:val="left"/>
            </w:pPr>
            <w:r>
              <w:rPr>
                <w:sz w:val="17"/>
              </w:rPr>
              <w:t xml:space="preserve">1.26.0</w:t>
            </w:r>
          </w:p>
        </w:tc>
        <w:tc>
          <w:tcPr/>
          <w:p>
            <w:pPr>
              <w:pStyle w:val="Compact"/>
              <w:spacing w:after="40" w:line="264" w:lineRule="auto"/>
              <w:jc w:val="left"/>
            </w:pPr>
            <w:r>
              <w:rPr>
                <w:sz w:val="17"/>
              </w:rPr>
              <w:t xml:space="preserve">1.26.0</w:t>
            </w:r>
          </w:p>
        </w:tc>
      </w:tr>
      <w:tr>
        <w:trPr>
          <w:cantSplit/>
        </w:trPr>
        <w:tc>
          <w:tcPr/>
          <w:p>
            <w:pPr>
              <w:pStyle w:val="Compact"/>
              <w:spacing w:after="40" w:line="264" w:lineRule="auto"/>
              <w:jc w:val="left"/>
            </w:pPr>
            <w:r>
              <w:rPr>
                <w:sz w:val="17"/>
              </w:rPr>
              <w:t xml:space="preserve">scran</w:t>
            </w:r>
          </w:p>
        </w:tc>
        <w:tc>
          <w:tcPr/>
          <w:p>
            <w:pPr>
              <w:pStyle w:val="Compact"/>
              <w:spacing w:after="40" w:line="264" w:lineRule="auto"/>
              <w:jc w:val="left"/>
            </w:pPr>
            <w:r>
              <w:rPr>
                <w:sz w:val="17"/>
              </w:rPr>
              <w:t xml:space="preserve">1.32.0</w:t>
            </w:r>
          </w:p>
        </w:tc>
        <w:tc>
          <w:tcPr/>
          <w:p>
            <w:pPr>
              <w:pStyle w:val="Compact"/>
              <w:spacing w:after="40" w:line="264" w:lineRule="auto"/>
              <w:jc w:val="left"/>
            </w:pPr>
            <w:r>
              <w:rPr>
                <w:sz w:val="17"/>
              </w:rPr>
              <w:t xml:space="preserve">1.32.0</w:t>
            </w:r>
          </w:p>
        </w:tc>
      </w:tr>
      <w:tr>
        <w:trPr>
          <w:cantSplit/>
        </w:trPr>
        <w:tc>
          <w:tcPr/>
          <w:p>
            <w:pPr>
              <w:pStyle w:val="Compact"/>
              <w:spacing w:after="40" w:line="264" w:lineRule="auto"/>
              <w:jc w:val="left"/>
            </w:pPr>
            <w:r>
              <w:rPr>
                <w:sz w:val="17"/>
              </w:rPr>
              <w:t xml:space="preserve">scater</w:t>
            </w:r>
          </w:p>
        </w:tc>
        <w:tc>
          <w:tcPr/>
          <w:p>
            <w:pPr>
              <w:pStyle w:val="Compact"/>
              <w:spacing w:after="40" w:line="264" w:lineRule="auto"/>
              <w:jc w:val="left"/>
            </w:pPr>
            <w:r>
              <w:rPr>
                <w:sz w:val="17"/>
              </w:rPr>
              <w:t xml:space="preserve">1.32.1</w:t>
            </w:r>
          </w:p>
        </w:tc>
        <w:tc>
          <w:tcPr/>
          <w:p>
            <w:pPr>
              <w:pStyle w:val="Compact"/>
              <w:spacing w:after="40" w:line="264" w:lineRule="auto"/>
              <w:jc w:val="left"/>
            </w:pPr>
            <w:r>
              <w:rPr>
                <w:sz w:val="17"/>
              </w:rPr>
              <w:t xml:space="preserve">1.32.1</w:t>
            </w:r>
          </w:p>
        </w:tc>
      </w:tr>
      <w:tr>
        <w:trPr>
          <w:cantSplit/>
        </w:trPr>
        <w:tc>
          <w:tcPr/>
          <w:p>
            <w:pPr>
              <w:pStyle w:val="Compact"/>
              <w:spacing w:after="40" w:line="264" w:lineRule="auto"/>
              <w:jc w:val="left"/>
            </w:pPr>
            <w:r>
              <w:rPr>
                <w:sz w:val="17"/>
              </w:rPr>
              <w:t xml:space="preserve">scuttle</w:t>
            </w:r>
          </w:p>
        </w:tc>
        <w:tc>
          <w:tcPr/>
          <w:p>
            <w:pPr>
              <w:pStyle w:val="Compact"/>
              <w:spacing w:after="40" w:line="264" w:lineRule="auto"/>
              <w:jc w:val="left"/>
            </w:pPr>
            <w:r>
              <w:rPr>
                <w:sz w:val="17"/>
              </w:rPr>
              <w:t xml:space="preserve">1.14.0</w:t>
            </w:r>
          </w:p>
        </w:tc>
        <w:tc>
          <w:tcPr/>
          <w:p>
            <w:pPr>
              <w:pStyle w:val="Compact"/>
              <w:spacing w:after="40" w:line="264" w:lineRule="auto"/>
              <w:jc w:val="left"/>
            </w:pPr>
            <w:r>
              <w:rPr>
                <w:sz w:val="17"/>
              </w:rPr>
              <w:t xml:space="preserve">1.14.0</w:t>
            </w:r>
          </w:p>
        </w:tc>
      </w:tr>
      <w:tr>
        <w:trPr>
          <w:cantSplit/>
        </w:trPr>
        <w:tc>
          <w:tcPr/>
          <w:p>
            <w:pPr>
              <w:pStyle w:val="Compact"/>
              <w:spacing w:after="40" w:line="264" w:lineRule="auto"/>
              <w:jc w:val="left"/>
            </w:pPr>
            <w:r>
              <w:rPr>
                <w:sz w:val="17"/>
              </w:rPr>
              <w:t xml:space="preserve">ggplot2</w:t>
            </w:r>
          </w:p>
        </w:tc>
        <w:tc>
          <w:tcPr/>
          <w:p>
            <w:pPr>
              <w:pStyle w:val="Compact"/>
              <w:spacing w:after="40" w:line="264" w:lineRule="auto"/>
              <w:jc w:val="left"/>
            </w:pPr>
            <w:r>
              <w:rPr>
                <w:sz w:val="17"/>
              </w:rPr>
              <w:t xml:space="preserve">3.5.2</w:t>
            </w:r>
          </w:p>
        </w:tc>
        <w:tc>
          <w:tcPr/>
          <w:p>
            <w:pPr>
              <w:pStyle w:val="Compact"/>
              <w:spacing w:after="40" w:line="264" w:lineRule="auto"/>
              <w:jc w:val="left"/>
            </w:pPr>
            <w:r>
              <w:rPr>
                <w:sz w:val="17"/>
              </w:rPr>
              <w:t xml:space="preserve">4.0.3</w:t>
            </w:r>
          </w:p>
        </w:tc>
      </w:tr>
      <w:tr>
        <w:trPr>
          <w:cantSplit/>
        </w:trPr>
        <w:tc>
          <w:tcPr/>
          <w:p>
            <w:pPr>
              <w:pStyle w:val="Compact"/>
              <w:spacing w:after="40" w:line="264" w:lineRule="auto"/>
              <w:jc w:val="left"/>
            </w:pPr>
            <w:r>
              <w:rPr>
                <w:sz w:val="17"/>
              </w:rPr>
              <w:t xml:space="preserve">核心运行资源</w:t>
            </w:r>
          </w:p>
        </w:tc>
        <w:tc>
          <w:tcPr/>
          <w:p>
            <w:pPr>
              <w:pStyle w:val="Compact"/>
              <w:spacing w:after="40" w:line="264" w:lineRule="auto"/>
              <w:jc w:val="left"/>
            </w:pPr>
            <w:r>
              <w:rPr>
                <w:sz w:val="17"/>
              </w:rPr>
              <w:t xml:space="preserve">2 CPU、8 GiB内存配额</w:t>
            </w:r>
          </w:p>
        </w:tc>
        <w:tc>
          <w:tcPr/>
          <w:p>
            <w:pPr>
              <w:pStyle w:val="Compact"/>
              <w:spacing w:after="40" w:line="264" w:lineRule="auto"/>
              <w:jc w:val="left"/>
            </w:pPr>
            <w:r>
              <w:rPr>
                <w:sz w:val="17"/>
              </w:rPr>
              <w:t xml:space="preserve">2 CPU、8 GiB内存配额</w:t>
            </w:r>
          </w:p>
        </w:tc>
      </w:tr>
    </w:tbl>
    <w:p>
      <w:pPr>
        <w:pStyle w:val="BodyText"/>
      </w:pPr>
      <w:r>
        <w:t xml:space="preserve">LM环境采用独立Conda前缀及R用户库，激活入口为</w:t>
      </w:r>
      <w:r>
        <w:rPr>
          <w:rStyle w:val="VerbatimChar"/>
        </w:rPr>
        <w:t xml:space="preserve">/workspace/cadir-env/activate.sh</w:t>
      </w:r>
      <w:r>
        <w:t xml:space="preserve">。CAdir公开源码固定于</w:t>
      </w:r>
      <w:r>
        <w:rPr>
          <w:rStyle w:val="VerbatimChar"/>
        </w:rPr>
        <w:t xml:space="preserve">de74a008dfcd0d4fa4f7f93c57aa346892a8d935</w:t>
      </w:r>
      <w:r>
        <w:t xml:space="preserve">，APL固定于</w:t>
      </w:r>
      <w:r>
        <w:rPr>
          <w:rStyle w:val="VerbatimChar"/>
        </w:rPr>
        <w:t xml:space="preserve">d4d1f40d9ea9f1d9a95b224d45de843334cd617d</w:t>
      </w:r>
      <w:r>
        <w:t xml:space="preserve">。环境同时保存源码、Conda显式制品清单、实际包版本表和</w:t>
      </w:r>
      <w:r>
        <w:rPr>
          <w:rStyle w:val="VerbatimChar"/>
        </w:rPr>
        <w:t xml:space="preserve">sessionInfo</w:t>
      </w:r>
      <w:r>
        <w:t xml:space="preserve">。HSC通过其固定容器环境顺序执行两方法，两个案例的实际版本分别记录。</w:t>
      </w:r>
    </w:p>
    <w:bookmarkEnd w:id="37"/>
    <w:bookmarkStart w:id="38" w:name="环境建立与调试过程"/>
    <w:p>
      <w:pPr>
        <w:pStyle w:val="Heading2"/>
      </w:pPr>
      <w:r>
        <w:t xml:space="preserve">4.2 环境建立与调试过程</w:t>
      </w:r>
    </w:p>
    <w:p>
      <w:pPr>
        <w:pStyle w:val="FirstParagraph"/>
      </w:pPr>
      <w:r>
        <w:t xml:space="preserve">已执行的LM环境建立包括：配置Conda的R 4.4.1及基础运行库；安装Bioconductor 3.19依赖；按固定提交安装APL、CAbiNet和CAdir；配置统一R用户库和CPU线程数；运行包加载、RDS读写、CA、CAdir及绘图的工程检查。</w:t>
      </w:r>
    </w:p>
    <w:p>
      <w:pPr>
        <w:pStyle w:val="BodyText"/>
      </w:pPr>
      <w:r>
        <w:t xml:space="preserve">安装中，R下载使用系统CA信任文件</w:t>
      </w:r>
      <w:r>
        <w:rPr>
          <w:rStyle w:val="VerbatimChar"/>
        </w:rPr>
        <w:t xml:space="preserve">/etc/ssl/certs/ca-certificates.crt</w:t>
      </w:r>
      <w:r>
        <w:t xml:space="preserve">；Cairo依赖通过匹配的zlib、expat和X11开发元数据补齐；fgsea编译通过专用Makevars采用GNU C++17。环境安装与重复执行日志保存在</w:t>
      </w:r>
      <w:r>
        <w:rPr>
          <w:rStyle w:val="VerbatimChar"/>
        </w:rPr>
        <w:t xml:space="preserve">/workspace/cadir-env/logs/</w:t>
      </w:r>
      <w:r>
        <w:t xml:space="preserve">，固定制品清单为</w:t>
      </w:r>
      <w:r>
        <w:rPr>
          <w:rStyle w:val="VerbatimChar"/>
        </w:rPr>
        <w:t xml:space="preserve">conda-explicit-linux-64.txt</w:t>
      </w:r>
      <w:r>
        <w:t xml:space="preserve">。以下为已建立环境的安装／刷新入口与激活命令。</w:t>
      </w:r>
    </w:p>
    <w:p>
      <w:pPr>
        <w:pStyle w:val="SourceCode"/>
        <w:keepLines w:val="0"/>
        <w:spacing w:before="60" w:after="60"/>
      </w:pPr>
      <w:r>
        <w:rPr>
          <w:rStyle w:val="FunctionTok"/>
          <w:sz w:val="16"/>
        </w:rPr>
        <w:t xml:space="preserve">bash</w:t>
      </w:r>
      <w:r>
        <w:rPr>
          <w:rStyle w:val="NormalTok"/>
          <w:sz w:val="16"/>
        </w:rPr>
        <w:t xml:space="preserve"> /workspace/cadir-env/complete-setup.sh</w:t>
      </w:r>
      <w:r>
        <w:rPr>
          <w:sz w:val="16"/>
        </w:rPr>
        <w:br/>
      </w:r>
      <w:r>
        <w:rPr>
          <w:rStyle w:val="BuiltInTok"/>
          <w:sz w:val="16"/>
        </w:rPr>
        <w:t xml:space="preserve">source</w:t>
      </w:r>
      <w:r>
        <w:rPr>
          <w:rStyle w:val="NormalTok"/>
          <w:sz w:val="16"/>
        </w:rPr>
        <w:t xml:space="preserve"> /workspace/cadir-env/activate.sh</w:t>
      </w:r>
      <w:r>
        <w:rPr>
          <w:sz w:val="16"/>
        </w:rPr>
        <w:br/>
      </w:r>
      <w:r>
        <w:rPr>
          <w:rStyle w:val="ExtensionTok"/>
          <w:sz w:val="16"/>
        </w:rPr>
        <w:t xml:space="preserve">Rscript</w:t>
      </w:r>
      <w:r>
        <w:rPr>
          <w:rStyle w:val="NormalTok"/>
          <w:sz w:val="16"/>
        </w:rPr>
        <w:t xml:space="preserve"> </w:t>
      </w:r>
      <w:r>
        <w:rPr>
          <w:rStyle w:val="AttributeTok"/>
          <w:sz w:val="16"/>
        </w:rPr>
        <w:t xml:space="preserve">--version</w:t>
      </w:r>
    </w:p>
    <w:p>
      <w:pPr>
        <w:pStyle w:val="FirstParagraph"/>
      </w:pPr>
      <w:r>
        <w:rPr>
          <w:rStyle w:val="VerbatimChar"/>
        </w:rPr>
        <w:t xml:space="preserve">complete-setup.sh</w:t>
      </w:r>
      <w:r>
        <w:t xml:space="preserve">顺序执行基础制品核对、定向R包安装和工程smoke。案例运行通过</w:t>
      </w:r>
      <w:r>
        <w:rPr>
          <w:rStyle w:val="VerbatimChar"/>
        </w:rPr>
        <w:t xml:space="preserve">run-r.sh</w:t>
      </w:r>
      <w:r>
        <w:t xml:space="preserve">调用</w:t>
      </w:r>
      <w:r>
        <w:rPr>
          <w:rStyle w:val="VerbatimChar"/>
        </w:rPr>
        <w:t xml:space="preserve">Rscript --vanilla</w:t>
      </w:r>
      <w:r>
        <w:t xml:space="preserve">，使用该环境中的包和解释器。实际RNG类型为Mersenne-Twister／Inversion／Rejection，CA、CAdir及排名各阶段保存随机数状态。OpenMP、OpenBLAS和MKL线程数设置为2。</w:t>
      </w:r>
    </w:p>
    <w:bookmarkEnd w:id="38"/>
    <w:bookmarkStart w:id="39" w:name="lm操作步骤"/>
    <w:p>
      <w:pPr>
        <w:pStyle w:val="Heading2"/>
      </w:pPr>
      <w:r>
        <w:t xml:space="preserve">4.3 LM操作步骤</w:t>
      </w:r>
    </w:p>
    <w:p>
      <w:pPr>
        <w:pStyle w:val="FirstParagraph"/>
      </w:pPr>
      <w:r>
        <w:t xml:space="preserve">步骤一，读取固定成果代码及配置。案例代码位于</w:t>
      </w:r>
      <w:r>
        <w:rPr>
          <w:rStyle w:val="VerbatimChar"/>
        </w:rPr>
        <w:t xml:space="preserve">cases/tabula_muris_limb/scripts/</w:t>
      </w:r>
      <w:r>
        <w:t xml:space="preserve">，九图脚本位于</w:t>
      </w:r>
      <w:r>
        <w:rPr>
          <w:rStyle w:val="VerbatimChar"/>
        </w:rPr>
        <w:t xml:space="preserve">cases/tabula_muris_limb/fig3_completion/scripts/</w:t>
      </w:r>
      <w:r>
        <w:t xml:space="preserve">，本报告采用的固定成果提交为</w:t>
      </w:r>
      <w:r>
        <w:rPr>
          <w:rStyle w:val="VerbatimChar"/>
        </w:rPr>
        <w:t xml:space="preserve">ab68da7ef154f133ec436275fcf11396f37f884a</w:t>
      </w:r>
      <w:r>
        <w:t xml:space="preserve">。</w:t>
      </w:r>
    </w:p>
    <w:p>
      <w:pPr>
        <w:pStyle w:val="BodyText"/>
      </w:pPr>
      <w:r>
        <w:t xml:space="preserve">步骤二，计算输入文件大小与SHA256，与配置记录比较。R层读取SingleCellExperiment后导出assay、基因ID、细胞ID和元数据，检查表达为有限非负值及标识唯一性。</w:t>
      </w:r>
    </w:p>
    <w:p>
      <w:pPr>
        <w:pStyle w:val="BodyText"/>
      </w:pPr>
      <w:r>
        <w:t xml:space="preserve">步骤三，对</w:t>
      </w:r>
      <w:r>
        <w:rPr>
          <w:rStyle w:val="VerbatimChar"/>
        </w:rPr>
        <w:t xml:space="preserve">logcounts</w:t>
      </w:r>
      <w:r>
        <w:t xml:space="preserve">进行方差建模，按顺序选取6000个高变基因，导出</w:t>
      </w:r>
      <w:r>
        <w:rPr>
          <w:rStyle w:val="VerbatimChar"/>
        </w:rPr>
        <w:t xml:space="preserve">hvg_genes.tsv</w:t>
      </w:r>
      <w:r>
        <w:t xml:space="preserve">和</w:t>
      </w:r>
      <w:r>
        <w:rPr>
          <w:rStyle w:val="VerbatimChar"/>
        </w:rPr>
        <w:t xml:space="preserve">selected_genes.tsv</w:t>
      </w:r>
      <w:r>
        <w:t xml:space="preserve">。</w:t>
      </w:r>
    </w:p>
    <w:p>
      <w:pPr>
        <w:pStyle w:val="BodyText"/>
      </w:pPr>
      <w:r>
        <w:t xml:space="preserve">步骤四，设置种子2358，运行30维CA，保存</w:t>
      </w:r>
      <w:r>
        <w:rPr>
          <w:rStyle w:val="VerbatimChar"/>
        </w:rPr>
        <w:t xml:space="preserve">ca.rds</w:t>
      </w:r>
      <w:r>
        <w:t xml:space="preserve">及实际随机数状态。随后重置该阶段种子，按固定参数调用</w:t>
      </w:r>
      <w:r>
        <w:rPr>
          <w:rStyle w:val="VerbatimChar"/>
        </w:rPr>
        <w:t xml:space="preserve">dirclust_splitmerge</w:t>
      </w:r>
      <w:r>
        <w:t xml:space="preserve">，保存</w:t>
      </w:r>
      <w:r>
        <w:rPr>
          <w:rStyle w:val="VerbatimChar"/>
        </w:rPr>
        <w:t xml:space="preserve">cadir_unranked.rds</w:t>
      </w:r>
      <w:r>
        <w:t xml:space="preserve">。</w:t>
      </w:r>
    </w:p>
    <w:p>
      <w:pPr>
        <w:pStyle w:val="BodyText"/>
      </w:pPr>
      <w:r>
        <w:t xml:space="preserve">步骤五，调用</w:t>
      </w:r>
      <w:r>
        <w:rPr>
          <w:rStyle w:val="VerbatimChar"/>
        </w:rPr>
        <w:t xml:space="preserve">rank_genes</w:t>
      </w:r>
      <w:r>
        <w:t xml:space="preserve">，保存</w:t>
      </w:r>
      <w:r>
        <w:rPr>
          <w:rStyle w:val="VerbatimChar"/>
        </w:rPr>
        <w:t xml:space="preserve">cadir.rds</w:t>
      </w:r>
      <w:r>
        <w:t xml:space="preserve">、alpha、全体已分配基因排名及基因／细胞分区。对原参考标签计算ARI和NMI，导出列联表。GOA注释保存为</w:t>
      </w:r>
      <w:r>
        <w:rPr>
          <w:rStyle w:val="VerbatimChar"/>
        </w:rPr>
        <w:t xml:space="preserve">cadir_annotated.rds</w:t>
      </w:r>
      <w:r>
        <w:t xml:space="preserve">。</w:t>
      </w:r>
    </w:p>
    <w:p>
      <w:pPr>
        <w:pStyle w:val="BodyText"/>
      </w:pPr>
      <w:r>
        <w:t xml:space="preserve">步骤六，从该次保存对象生成九项图表及数值表。S1D/E使用相同对象和数值，只调整图例展示；图例修复已复验。</w:t>
      </w:r>
    </w:p>
    <w:p>
      <w:pPr>
        <w:pStyle w:val="BodyText"/>
      </w:pPr>
      <w:r>
        <w:t xml:space="preserve">下列命令表达实际采用的入口。每次重算使用独立输出目录。</w:t>
      </w:r>
    </w:p>
    <w:p>
      <w:pPr>
        <w:pStyle w:val="SourceCode"/>
        <w:keepLines w:val="0"/>
        <w:spacing w:before="60" w:after="60"/>
      </w:pPr>
      <w:r>
        <w:rPr>
          <w:rStyle w:val="VariableTok"/>
          <w:sz w:val="16"/>
        </w:rPr>
        <w:t xml:space="preserve">case_dir</w:t>
      </w:r>
      <w:r>
        <w:rPr>
          <w:rStyle w:val="OperatorTok"/>
          <w:sz w:val="16"/>
        </w:rPr>
        <w:t xml:space="preserve">=</w:t>
      </w:r>
      <w:r>
        <w:rPr>
          <w:rStyle w:val="NormalTok"/>
          <w:sz w:val="16"/>
        </w:rPr>
        <w:t xml:space="preserve">/workspace/cadir-lm-fig3-completion-20261027/cases/tabula_muris_limb</w:t>
      </w:r>
      <w:r>
        <w:rPr>
          <w:sz w:val="16"/>
        </w:rPr>
        <w:br/>
      </w:r>
      <w:r>
        <w:rPr>
          <w:rStyle w:val="VariableTok"/>
          <w:sz w:val="16"/>
        </w:rPr>
        <w:t xml:space="preserve">input_rds</w:t>
      </w:r>
      <w:r>
        <w:rPr>
          <w:rStyle w:val="OperatorTok"/>
          <w:sz w:val="16"/>
        </w:rPr>
        <w:t xml:space="preserve">=</w:t>
      </w:r>
      <w:r>
        <w:rPr>
          <w:rStyle w:val="NormalTok"/>
          <w:sz w:val="16"/>
        </w:rPr>
        <w:t xml:space="preserve">/workspace/cadir-handover/input/tabula_muris_limb_preproc.rds</w:t>
      </w:r>
      <w:r>
        <w:rPr>
          <w:sz w:val="16"/>
        </w:rPr>
        <w:br/>
      </w:r>
      <w:r>
        <w:rPr>
          <w:rStyle w:val="VariableTok"/>
          <w:sz w:val="16"/>
        </w:rPr>
        <w:t xml:space="preserve">out_root</w:t>
      </w:r>
      <w:r>
        <w:rPr>
          <w:rStyle w:val="OperatorTok"/>
          <w:sz w:val="16"/>
        </w:rPr>
        <w:t xml:space="preserve">=</w:t>
      </w:r>
      <w:r>
        <w:rPr>
          <w:rStyle w:val="NormalTok"/>
          <w:sz w:val="16"/>
        </w:rPr>
        <w:t xml:space="preserve">/workspace/lm-report-replay/run-01</w:t>
      </w:r>
      <w:r>
        <w:rPr>
          <w:sz w:val="16"/>
        </w:rPr>
        <w:br/>
      </w:r>
      <w:r>
        <w:rPr>
          <w:sz w:val="16"/>
        </w:rPr>
        <w:br/>
      </w:r>
      <w:r>
        <w:rPr>
          <w:rStyle w:val="FunctionTok"/>
          <w:sz w:val="16"/>
        </w:rPr>
        <w:t xml:space="preserve">bash</w:t>
      </w:r>
      <w:r>
        <w:rPr>
          <w:rStyle w:val="NormalTok"/>
          <w:sz w:val="16"/>
        </w:rPr>
        <w:t xml:space="preserve"> </w:t>
      </w:r>
      <w:r>
        <w:rPr>
          <w:rStyle w:val="StringTok"/>
          <w:sz w:val="16"/>
        </w:rPr>
        <w:t xml:space="preserve">"</w:t>
      </w:r>
      <w:r>
        <w:rPr>
          <w:rStyle w:val="VariableTok"/>
          <w:sz w:val="16"/>
        </w:rPr>
        <w:t xml:space="preserve">$case_dir</w:t>
      </w:r>
      <w:r>
        <w:rPr>
          <w:rStyle w:val="StringTok"/>
          <w:sz w:val="16"/>
        </w:rPr>
        <w:t xml:space="preserve">/scripts/rerun.sh"</w:t>
      </w:r>
      <w:r>
        <w:rPr>
          <w:rStyle w:val="NormalTok"/>
          <w:sz w:val="16"/>
        </w:rPr>
        <w:t xml:space="preserve"> </w:t>
      </w:r>
      <w:r>
        <w:rPr>
          <w:rStyle w:val="DataTypeTok"/>
          <w:sz w:val="16"/>
        </w:rPr>
        <w:t xml:space="preserve">\</w:t>
      </w:r>
      <w:r>
        <w:rPr>
          <w:sz w:val="16"/>
        </w:rPr>
        <w:br/>
      </w:r>
      <w:r>
        <w:rPr>
          <w:rStyle w:val="NormalTok"/>
          <w:sz w:val="16"/>
        </w:rPr>
        <w:t xml:space="preserve">  </w:t>
      </w:r>
      <w:r>
        <w:rPr>
          <w:rStyle w:val="AttributeTok"/>
          <w:sz w:val="16"/>
        </w:rPr>
        <w:t xml:space="preserve">--data</w:t>
      </w:r>
      <w:r>
        <w:rPr>
          <w:rStyle w:val="NormalTok"/>
          <w:sz w:val="16"/>
        </w:rPr>
        <w:t xml:space="preserve"> </w:t>
      </w:r>
      <w:r>
        <w:rPr>
          <w:rStyle w:val="StringTok"/>
          <w:sz w:val="16"/>
        </w:rPr>
        <w:t xml:space="preserve">"</w:t>
      </w:r>
      <w:r>
        <w:rPr>
          <w:rStyle w:val="VariableTok"/>
          <w:sz w:val="16"/>
        </w:rPr>
        <w:t xml:space="preserve">$input_rds</w:t>
      </w:r>
      <w:r>
        <w:rPr>
          <w:rStyle w:val="StringTok"/>
          <w:sz w:val="16"/>
        </w:rPr>
        <w:t xml:space="preserve">"</w:t>
      </w:r>
      <w:r>
        <w:rPr>
          <w:rStyle w:val="NormalTok"/>
          <w:sz w:val="16"/>
        </w:rPr>
        <w:t xml:space="preserve"> </w:t>
      </w:r>
      <w:r>
        <w:rPr>
          <w:rStyle w:val="AttributeTok"/>
          <w:sz w:val="16"/>
        </w:rPr>
        <w:t xml:space="preserve">--output-root</w:t>
      </w:r>
      <w:r>
        <w:rPr>
          <w:rStyle w:val="NormalTok"/>
          <w:sz w:val="16"/>
        </w:rPr>
        <w:t xml:space="preserve"> </w:t>
      </w:r>
      <w:r>
        <w:rPr>
          <w:rStyle w:val="StringTok"/>
          <w:sz w:val="16"/>
        </w:rPr>
        <w:t xml:space="preserve">"</w:t>
      </w:r>
      <w:r>
        <w:rPr>
          <w:rStyle w:val="VariableTok"/>
          <w:sz w:val="16"/>
        </w:rPr>
        <w:t xml:space="preserve">$out_root</w:t>
      </w:r>
      <w:r>
        <w:rPr>
          <w:rStyle w:val="StringTok"/>
          <w:sz w:val="16"/>
        </w:rPr>
        <w:t xml:space="preserve">"</w:t>
      </w:r>
      <w:r>
        <w:rPr>
          <w:sz w:val="16"/>
        </w:rPr>
        <w:br/>
      </w:r>
      <w:r>
        <w:rPr>
          <w:sz w:val="16"/>
        </w:rPr>
        <w:br/>
      </w:r>
      <w:r>
        <w:rPr>
          <w:rStyle w:val="VariableTok"/>
          <w:sz w:val="16"/>
        </w:rPr>
        <w:t xml:space="preserve">run_dir</w:t>
      </w:r>
      <w:r>
        <w:rPr>
          <w:rStyle w:val="OperatorTok"/>
          <w:sz w:val="16"/>
        </w:rPr>
        <w:t xml:space="preserve">=</w:t>
      </w:r>
      <w:r>
        <w:rPr>
          <w:rStyle w:val="VariableTok"/>
          <w:sz w:val="16"/>
        </w:rPr>
        <w:t xml:space="preserve">$(</w:t>
      </w:r>
      <w:r>
        <w:rPr>
          <w:rStyle w:val="ExtensionTok"/>
          <w:sz w:val="16"/>
        </w:rPr>
        <w:t xml:space="preserve">python</w:t>
      </w:r>
      <w:r>
        <w:rPr>
          <w:rStyle w:val="NormalTok"/>
          <w:sz w:val="16"/>
        </w:rPr>
        <w:t xml:space="preserve"> </w:t>
      </w:r>
      <w:r>
        <w:rPr>
          <w:rStyle w:val="AttributeTok"/>
          <w:sz w:val="16"/>
        </w:rPr>
        <w:t xml:space="preserve">-c</w:t>
      </w:r>
      <w:r>
        <w:rPr>
          <w:rStyle w:val="NormalTok"/>
          <w:sz w:val="16"/>
        </w:rPr>
        <w:t xml:space="preserve"> </w:t>
      </w:r>
      <w:r>
        <w:rPr>
          <w:rStyle w:val="StringTok"/>
          <w:sz w:val="16"/>
        </w:rPr>
        <w:t xml:space="preserve">'import json,sys; print(json.load(open(sys.argv[1]))["run_directory"])'</w:t>
      </w:r>
      <w:r>
        <w:rPr>
          <w:rStyle w:val="NormalTok"/>
          <w:sz w:val="16"/>
        </w:rPr>
        <w:t xml:space="preserve"> </w:t>
      </w:r>
      <w:r>
        <w:rPr>
          <w:rStyle w:val="DataTypeTok"/>
          <w:sz w:val="16"/>
        </w:rPr>
        <w:t xml:space="preserve">\</w:t>
      </w:r>
      <w:r>
        <w:rPr>
          <w:sz w:val="16"/>
        </w:rPr>
        <w:br/>
      </w:r>
      <w:r>
        <w:rPr>
          <w:rStyle w:val="NormalTok"/>
          <w:sz w:val="16"/>
        </w:rPr>
        <w:t xml:space="preserve">  </w:t>
      </w:r>
      <w:r>
        <w:rPr>
          <w:rStyle w:val="StringTok"/>
          <w:sz w:val="16"/>
        </w:rPr>
        <w:t xml:space="preserve">"</w:t>
      </w:r>
      <w:r>
        <w:rPr>
          <w:rStyle w:val="VariableTok"/>
          <w:sz w:val="16"/>
        </w:rPr>
        <w:t xml:space="preserve">$out_root</w:t>
      </w:r>
      <w:r>
        <w:rPr>
          <w:rStyle w:val="StringTok"/>
          <w:sz w:val="16"/>
        </w:rPr>
        <w:t xml:space="preserve">/latest-case.json"</w:t>
      </w:r>
      <w:r>
        <w:rPr>
          <w:rStyle w:val="VariableTok"/>
          <w:sz w:val="16"/>
        </w:rPr>
        <w:t xml:space="preserve">)</w:t>
      </w:r>
      <w:r>
        <w:rPr>
          <w:sz w:val="16"/>
        </w:rPr>
        <w:br/>
      </w:r>
      <w:r>
        <w:rPr>
          <w:sz w:val="16"/>
        </w:rPr>
        <w:br/>
      </w:r>
      <w:r>
        <w:rPr>
          <w:rStyle w:val="FunctionTok"/>
          <w:sz w:val="16"/>
        </w:rPr>
        <w:t xml:space="preserve">bash</w:t>
      </w:r>
      <w:r>
        <w:rPr>
          <w:rStyle w:val="NormalTok"/>
          <w:sz w:val="16"/>
        </w:rPr>
        <w:t xml:space="preserve"> </w:t>
      </w:r>
      <w:r>
        <w:rPr>
          <w:rStyle w:val="StringTok"/>
          <w:sz w:val="16"/>
        </w:rPr>
        <w:t xml:space="preserve">"</w:t>
      </w:r>
      <w:r>
        <w:rPr>
          <w:rStyle w:val="VariableTok"/>
          <w:sz w:val="16"/>
        </w:rPr>
        <w:t xml:space="preserve">$case_dir</w:t>
      </w:r>
      <w:r>
        <w:rPr>
          <w:rStyle w:val="StringTok"/>
          <w:sz w:val="16"/>
        </w:rPr>
        <w:t xml:space="preserve">/scripts/run-r.sh"</w:t>
      </w:r>
      <w:r>
        <w:rPr>
          <w:rStyle w:val="NormalTok"/>
          <w:sz w:val="16"/>
        </w:rPr>
        <w:t xml:space="preserve"> </w:t>
      </w:r>
      <w:r>
        <w:rPr>
          <w:rStyle w:val="DataTypeTok"/>
          <w:sz w:val="16"/>
        </w:rPr>
        <w:t xml:space="preserve">\</w:t>
      </w:r>
      <w:r>
        <w:rPr>
          <w:sz w:val="16"/>
        </w:rPr>
        <w:br/>
      </w:r>
      <w:r>
        <w:rPr>
          <w:rStyle w:val="NormalTok"/>
          <w:sz w:val="16"/>
        </w:rPr>
        <w:t xml:space="preserve">  </w:t>
      </w:r>
      <w:r>
        <w:rPr>
          <w:rStyle w:val="StringTok"/>
          <w:sz w:val="16"/>
        </w:rPr>
        <w:t xml:space="preserve">"</w:t>
      </w:r>
      <w:r>
        <w:rPr>
          <w:rStyle w:val="VariableTok"/>
          <w:sz w:val="16"/>
        </w:rPr>
        <w:t xml:space="preserve">$case_dir</w:t>
      </w:r>
      <w:r>
        <w:rPr>
          <w:rStyle w:val="StringTok"/>
          <w:sz w:val="16"/>
        </w:rPr>
        <w:t xml:space="preserve">/fig3_completion/scripts/render_fig3.R"</w:t>
      </w:r>
      <w:r>
        <w:rPr>
          <w:rStyle w:val="NormalTok"/>
          <w:sz w:val="16"/>
        </w:rPr>
        <w:t xml:space="preserve"> </w:t>
      </w:r>
      <w:r>
        <w:rPr>
          <w:rStyle w:val="DataTypeTok"/>
          <w:sz w:val="16"/>
        </w:rPr>
        <w:t xml:space="preserve">\</w:t>
      </w:r>
      <w:r>
        <w:rPr>
          <w:sz w:val="16"/>
        </w:rPr>
        <w:br/>
      </w:r>
      <w:r>
        <w:rPr>
          <w:rStyle w:val="NormalTok"/>
          <w:sz w:val="16"/>
        </w:rPr>
        <w:t xml:space="preserve">  </w:t>
      </w:r>
      <w:r>
        <w:rPr>
          <w:rStyle w:val="StringTok"/>
          <w:sz w:val="16"/>
        </w:rPr>
        <w:t xml:space="preserve">"</w:t>
      </w:r>
      <w:r>
        <w:rPr>
          <w:rStyle w:val="VariableTok"/>
          <w:sz w:val="16"/>
        </w:rPr>
        <w:t xml:space="preserve">$run_dir</w:t>
      </w:r>
      <w:r>
        <w:rPr>
          <w:rStyle w:val="StringTok"/>
          <w:sz w:val="16"/>
        </w:rPr>
        <w:t xml:space="preserve">"</w:t>
      </w:r>
      <w:r>
        <w:rPr>
          <w:rStyle w:val="NormalTok"/>
          <w:sz w:val="16"/>
        </w:rPr>
        <w:t xml:space="preserve"> /workspace/lm-report-replay/plots-01</w:t>
      </w:r>
      <w:r>
        <w:rPr>
          <w:sz w:val="16"/>
        </w:rPr>
        <w:br/>
      </w:r>
      <w:r>
        <w:rPr>
          <w:sz w:val="16"/>
        </w:rPr>
        <w:br/>
      </w:r>
      <w:r>
        <w:rPr>
          <w:rStyle w:val="FunctionTok"/>
          <w:sz w:val="16"/>
        </w:rPr>
        <w:t xml:space="preserve">bash</w:t>
      </w:r>
      <w:r>
        <w:rPr>
          <w:rStyle w:val="NormalTok"/>
          <w:sz w:val="16"/>
        </w:rPr>
        <w:t xml:space="preserve"> </w:t>
      </w:r>
      <w:r>
        <w:rPr>
          <w:rStyle w:val="StringTok"/>
          <w:sz w:val="16"/>
        </w:rPr>
        <w:t xml:space="preserve">"</w:t>
      </w:r>
      <w:r>
        <w:rPr>
          <w:rStyle w:val="VariableTok"/>
          <w:sz w:val="16"/>
        </w:rPr>
        <w:t xml:space="preserve">$case_dir</w:t>
      </w:r>
      <w:r>
        <w:rPr>
          <w:rStyle w:val="StringTok"/>
          <w:sz w:val="16"/>
        </w:rPr>
        <w:t xml:space="preserve">/scripts/run-r.sh"</w:t>
      </w:r>
      <w:r>
        <w:rPr>
          <w:rStyle w:val="NormalTok"/>
          <w:sz w:val="16"/>
        </w:rPr>
        <w:t xml:space="preserve"> </w:t>
      </w:r>
      <w:r>
        <w:rPr>
          <w:rStyle w:val="DataTypeTok"/>
          <w:sz w:val="16"/>
        </w:rPr>
        <w:t xml:space="preserve">\</w:t>
      </w:r>
      <w:r>
        <w:rPr>
          <w:sz w:val="16"/>
        </w:rPr>
        <w:br/>
      </w:r>
      <w:r>
        <w:rPr>
          <w:rStyle w:val="NormalTok"/>
          <w:sz w:val="16"/>
        </w:rPr>
        <w:t xml:space="preserve">  </w:t>
      </w:r>
      <w:r>
        <w:rPr>
          <w:rStyle w:val="StringTok"/>
          <w:sz w:val="16"/>
        </w:rPr>
        <w:t xml:space="preserve">"</w:t>
      </w:r>
      <w:r>
        <w:rPr>
          <w:rStyle w:val="VariableTok"/>
          <w:sz w:val="16"/>
        </w:rPr>
        <w:t xml:space="preserve">$case_dir</w:t>
      </w:r>
      <w:r>
        <w:rPr>
          <w:rStyle w:val="StringTok"/>
          <w:sz w:val="16"/>
        </w:rPr>
        <w:t xml:space="preserve">/fig3_completion/scripts/verify_fig3.R"</w:t>
      </w:r>
      <w:r>
        <w:rPr>
          <w:rStyle w:val="NormalTok"/>
          <w:sz w:val="16"/>
        </w:rPr>
        <w:t xml:space="preserve"> </w:t>
      </w:r>
      <w:r>
        <w:rPr>
          <w:rStyle w:val="DataTypeTok"/>
          <w:sz w:val="16"/>
        </w:rPr>
        <w:t xml:space="preserve">\</w:t>
      </w:r>
      <w:r>
        <w:rPr>
          <w:sz w:val="16"/>
        </w:rPr>
        <w:br/>
      </w:r>
      <w:r>
        <w:rPr>
          <w:rStyle w:val="NormalTok"/>
          <w:sz w:val="16"/>
        </w:rPr>
        <w:t xml:space="preserve">  </w:t>
      </w:r>
      <w:r>
        <w:rPr>
          <w:rStyle w:val="StringTok"/>
          <w:sz w:val="16"/>
        </w:rPr>
        <w:t xml:space="preserve">"</w:t>
      </w:r>
      <w:r>
        <w:rPr>
          <w:rStyle w:val="VariableTok"/>
          <w:sz w:val="16"/>
        </w:rPr>
        <w:t xml:space="preserve">$run_dir</w:t>
      </w:r>
      <w:r>
        <w:rPr>
          <w:rStyle w:val="StringTok"/>
          <w:sz w:val="16"/>
        </w:rPr>
        <w:t xml:space="preserve">"</w:t>
      </w:r>
      <w:r>
        <w:rPr>
          <w:rStyle w:val="NormalTok"/>
          <w:sz w:val="16"/>
        </w:rPr>
        <w:t xml:space="preserve"> /workspace/lm-report-replay/plots-01</w:t>
      </w:r>
    </w:p>
    <w:p>
      <w:pPr>
        <w:pStyle w:val="FirstParagraph"/>
      </w:pPr>
      <w:r>
        <w:rPr>
          <w:rStyle w:val="VerbatimChar"/>
        </w:rPr>
        <w:t xml:space="preserve">rerun.sh</w:t>
      </w:r>
      <w:r>
        <w:t xml:space="preserve">先进行版本检查及独立工程smoke，再调用真实案例；</w:t>
      </w:r>
      <w:r>
        <w:rPr>
          <w:rStyle w:val="VerbatimChar"/>
        </w:rPr>
        <w:t xml:space="preserve">latest-case.json</w:t>
      </w:r>
      <w:r>
        <w:t xml:space="preserve">定位本次真实案例目录。最终发布的S1D/E使用</w:t>
      </w:r>
      <w:r>
        <w:rPr>
          <w:rStyle w:val="VerbatimChar"/>
        </w:rPr>
        <w:t xml:space="preserve">repair_s1_legend.R</w:t>
      </w:r>
      <w:r>
        <w:t xml:space="preserve">，其三个参数依次为真实运行目录、原绘图目录和独立修复输出目录。</w:t>
      </w:r>
    </w:p>
    <w:bookmarkEnd w:id="39"/>
    <w:bookmarkStart w:id="40" w:name="hsc共同准备与对照操作"/>
    <w:p>
      <w:pPr>
        <w:pStyle w:val="Heading2"/>
      </w:pPr>
      <w:r>
        <w:t xml:space="preserve">4.4 HSC共同准备与对照操作</w:t>
      </w:r>
    </w:p>
    <w:p>
      <w:pPr>
        <w:pStyle w:val="FirstParagraph"/>
      </w:pPr>
      <w:r>
        <w:t xml:space="preserve">首先按ID读取1920个候选细胞的计数和元数据，将</w:t>
      </w:r>
      <w:r>
        <w:rPr>
          <w:rStyle w:val="VerbatimChar"/>
        </w:rPr>
        <w:t xml:space="preserve">__</w:t>
      </w:r>
      <w:r>
        <w:t xml:space="preserve">开头的统计行、ERCC spike-in和内源性基因分别识别。共同QC对内源性总计数、检出基因数和ERCC比例建立预定阈值：前两项在log2尺度使用中位数减3倍标准化MAD作为下限，ERCC比例使用中位数加3倍MAD作为上限。保留1656个细胞，过滤264个细胞。</w:t>
      </w:r>
    </w:p>
    <w:p>
      <w:pPr>
        <w:pStyle w:val="BodyText"/>
      </w:pPr>
      <w:r>
        <w:t xml:space="preserve">随后进行一次共同归一化和高变基因选择，得到40721个合格基因及6000个HVG。参考标签根据六个broad二元成员列逐ID生成；具有唯一成员的细胞进入评价集合，形成1641个评价细胞。共享表达对象和评价ID集合固定后供两方法读取。</w:t>
      </w:r>
    </w:p>
    <w:p>
      <w:pPr>
        <w:pStyle w:val="BodyText"/>
      </w:pPr>
      <w:r>
        <w:t xml:space="preserve">CAdir采用30维CA、初始k=8、55°、最小簇20细胞及</w:t>
      </w:r>
      <w:r>
        <w:rPr>
          <w:rStyle w:val="VerbatimChar"/>
        </w:rPr>
        <w:t xml:space="preserve">qcutoff=0.8</w:t>
      </w:r>
      <w:r>
        <w:t xml:space="preserve">。基线对全部共同HVG计算30维PCA，使用</w:t>
      </w:r>
      <w:r>
        <w:rPr>
          <w:rStyle w:val="VerbatimChar"/>
        </w:rPr>
        <w:t xml:space="preserve">ntop=Inf</w:t>
      </w:r>
      <w:r>
        <w:t xml:space="preserve">明确保留全部已选特征；构建</w:t>
      </w:r>
      <w:r>
        <w:rPr>
          <w:rStyle w:val="VerbatimChar"/>
        </w:rPr>
        <w:t xml:space="preserve">k=15</w:t>
      </w:r>
      <w:r>
        <w:t xml:space="preserve">、</w:t>
      </w:r>
      <w:r>
        <w:rPr>
          <w:rStyle w:val="VerbatimChar"/>
        </w:rPr>
        <w:t xml:space="preserve">type="rank"</w:t>
      </w:r>
      <w:r>
        <w:t xml:space="preserve">的SNN图；以边权和</w:t>
      </w:r>
      <w:r>
        <w:rPr>
          <w:rStyle w:val="VerbatimChar"/>
        </w:rPr>
        <w:t xml:space="preserve">resolution=1</w:t>
      </w:r>
      <w:r>
        <w:t xml:space="preserve">执行Louvain。两方法均使用2358、101、202、303、404五个种子。正式执行入口为：</w:t>
      </w:r>
    </w:p>
    <w:p>
      <w:pPr>
        <w:pStyle w:val="SourceCode"/>
        <w:keepLines w:val="0"/>
        <w:spacing w:before="60" w:after="60"/>
      </w:pPr>
      <w:r>
        <w:rPr>
          <w:rStyle w:val="ExtensionTok"/>
          <w:sz w:val="16"/>
        </w:rPr>
        <w:t xml:space="preserve">python3</w:t>
      </w:r>
      <w:r>
        <w:rPr>
          <w:rStyle w:val="NormalTok"/>
          <w:sz w:val="16"/>
        </w:rPr>
        <w:t xml:space="preserve"> cases/nestorowa_hsc/fair-experiment/scripts/run_experiment.py </w:t>
      </w:r>
      <w:r>
        <w:rPr>
          <w:rStyle w:val="DataTypeTok"/>
          <w:sz w:val="16"/>
        </w:rPr>
        <w:t xml:space="preserve">\</w:t>
      </w:r>
      <w:r>
        <w:rPr>
          <w:sz w:val="16"/>
        </w:rPr>
        <w:br/>
      </w:r>
      <w:r>
        <w:rPr>
          <w:rStyle w:val="NormalTok"/>
          <w:sz w:val="16"/>
        </w:rPr>
        <w:t xml:space="preserve">  </w:t>
      </w:r>
      <w:r>
        <w:rPr>
          <w:rStyle w:val="AttributeTok"/>
          <w:sz w:val="16"/>
        </w:rPr>
        <w:t xml:space="preserve">--admission</w:t>
      </w:r>
      <w:r>
        <w:rPr>
          <w:rStyle w:val="NormalTok"/>
          <w:sz w:val="16"/>
        </w:rPr>
        <w:t xml:space="preserve"> cases/nestorowa_hsc/fair-experiment/results/6cc7b3d-20261027-attempt-01/design-admission/admission.json </w:t>
      </w:r>
      <w:r>
        <w:rPr>
          <w:rStyle w:val="DataTypeTok"/>
          <w:sz w:val="16"/>
        </w:rPr>
        <w:t xml:space="preserve">\</w:t>
      </w:r>
      <w:r>
        <w:rPr>
          <w:sz w:val="16"/>
        </w:rPr>
        <w:br/>
      </w:r>
      <w:r>
        <w:rPr>
          <w:rStyle w:val="NormalTok"/>
          <w:sz w:val="16"/>
        </w:rPr>
        <w:t xml:space="preserve">  </w:t>
      </w:r>
      <w:r>
        <w:rPr>
          <w:rStyle w:val="AttributeTok"/>
          <w:sz w:val="16"/>
        </w:rPr>
        <w:t xml:space="preserve">--output-root</w:t>
      </w:r>
      <w:r>
        <w:rPr>
          <w:rStyle w:val="NormalTok"/>
          <w:sz w:val="16"/>
        </w:rPr>
        <w:t xml:space="preserve"> /workspace/hsc-replay/formal-run-01</w:t>
      </w:r>
    </w:p>
    <w:p>
      <w:pPr>
        <w:pStyle w:val="FirstParagraph"/>
      </w:pPr>
      <w:r>
        <w:t xml:space="preserve">其中</w:t>
      </w:r>
      <w:r>
        <w:rPr>
          <w:rStyle w:val="VerbatimChar"/>
        </w:rPr>
        <w:t xml:space="preserve">--admission</w:t>
      </w:r>
      <w:r>
        <w:t xml:space="preserve">指向固定代码、配置、输入和环境对应的独立准入记录。执行器逐次建立新目录，保存CA／PCA、图结构、分区、RNG、指标、日志及资源记录。HSC的代码与结果分别固定于实现提交</w:t>
      </w:r>
      <w:r>
        <w:rPr>
          <w:rStyle w:val="VerbatimChar"/>
        </w:rPr>
        <w:t xml:space="preserve">6cc7b3da67c193da11a67c45a75167d6521438b0</w:t>
      </w:r>
      <w:r>
        <w:t xml:space="preserve">和结果提交</w:t>
      </w:r>
      <w:r>
        <w:rPr>
          <w:rStyle w:val="VerbatimChar"/>
        </w:rPr>
        <w:t xml:space="preserve">091a8a4585cabc59a5504380398892bac49044f4</w:t>
      </w:r>
      <w:r>
        <w:t xml:space="preserve">。</w:t>
      </w:r>
    </w:p>
    <w:bookmarkEnd w:id="40"/>
    <w:bookmarkEnd w:id="41"/>
    <w:bookmarkStart w:id="48" w:name="代码结构与关键实现分析"/>
    <w:p>
      <w:pPr>
        <w:pStyle w:val="Heading1"/>
      </w:pPr>
      <w:r>
        <w:t xml:space="preserve">5 代码结构与关键实现分析</w:t>
      </w:r>
    </w:p>
    <w:bookmarkStart w:id="42" w:name="入口配置与数据检查"/>
    <w:p>
      <w:pPr>
        <w:pStyle w:val="Heading2"/>
      </w:pPr>
      <w:r>
        <w:t xml:space="preserve">5.1 入口、配置与数据检查</w:t>
      </w:r>
    </w:p>
    <w:p>
      <w:pPr>
        <w:pStyle w:val="FirstParagraph"/>
      </w:pPr>
      <w:r>
        <w:t xml:space="preserve">LM的</w:t>
      </w:r>
      <w:r>
        <w:rPr>
          <w:rStyle w:val="VerbatimChar"/>
        </w:rPr>
        <w:t xml:space="preserve">run_case.py</w:t>
      </w:r>
      <w:r>
        <w:t xml:space="preserve">负责读取JSON配置、验证输入、创建独立运行目录并启动R。</w:t>
      </w:r>
      <w:r>
        <w:rPr>
          <w:rStyle w:val="VerbatimChar"/>
        </w:rPr>
        <w:t xml:space="preserve">pipeline.R</w:t>
      </w:r>
      <w:r>
        <w:t xml:space="preserve">承担数据检查、特征选择、模型运行和导出；</w:t>
      </w:r>
      <w:r>
        <w:rPr>
          <w:rStyle w:val="VerbatimChar"/>
        </w:rPr>
        <w:t xml:space="preserve">verify_results.R</w:t>
      </w:r>
      <w:r>
        <w:t xml:space="preserve">执行结果检查；</w:t>
      </w:r>
      <w:r>
        <w:rPr>
          <w:rStyle w:val="VerbatimChar"/>
        </w:rPr>
        <w:t xml:space="preserve">render_fig3.R</w:t>
      </w:r>
      <w:r>
        <w:t xml:space="preserve">读取已保存对象并生成九图；</w:t>
      </w:r>
      <w:r>
        <w:rPr>
          <w:rStyle w:val="VerbatimChar"/>
        </w:rPr>
        <w:t xml:space="preserve">repair_s1_legend.R</w:t>
      </w:r>
      <w:r>
        <w:t xml:space="preserve">完成标准坐标图的图例布局。固定源码与本节各段的对应见附录B代码索引。</w:t>
      </w:r>
    </w:p>
    <w:p>
      <w:pPr>
        <w:pStyle w:val="BodyText"/>
      </w:pPr>
      <w:r>
        <w:rPr>
          <w:rStyle w:val="VerbatimChar"/>
        </w:rPr>
        <w:t xml:space="preserve">run_case.py</w:t>
      </w:r>
      <w:r>
        <w:t xml:space="preserve">中用</w:t>
      </w:r>
      <w:r>
        <w:rPr>
          <w:rStyle w:val="VerbatimChar"/>
        </w:rPr>
        <w:t xml:space="preserve">tempfile.mkdtemp</w:t>
      </w:r>
      <w:r>
        <w:t xml:space="preserve">创建每次独立的</w:t>
      </w:r>
      <w:r>
        <w:rPr>
          <w:rStyle w:val="VerbatimChar"/>
        </w:rPr>
        <w:t xml:space="preserve">case-</w:t>
      </w:r>
      <w:r>
        <w:t xml:space="preserve">目录，写入有效配置和运行状态。数据检查位于R的</w:t>
      </w:r>
      <w:r>
        <w:rPr>
          <w:rStyle w:val="VerbatimChar"/>
        </w:rPr>
        <w:t xml:space="preserve">audit_object</w:t>
      </w:r>
      <w:r>
        <w:t xml:space="preserve">，包括：对象类、各assay维数与取值、基因／细胞ID唯一性、元数据列和参考标签数量。结果导出前通过</w:t>
      </w:r>
      <w:r>
        <w:rPr>
          <w:rStyle w:val="VerbatimChar"/>
        </w:rPr>
        <w:t xml:space="preserve">identical</w:t>
      </w:r>
      <w:r>
        <w:t xml:space="preserve">核对CA细胞顺序、表达列顺序和聚类成员名称。</w:t>
      </w:r>
    </w:p>
    <w:bookmarkEnd w:id="42"/>
    <w:bookmarkStart w:id="43" w:name="特征选择"/>
    <w:p>
      <w:pPr>
        <w:pStyle w:val="Heading2"/>
      </w:pPr>
      <w:r>
        <w:t xml:space="preserve">5.2 特征选择</w:t>
      </w:r>
    </w:p>
    <w:p>
      <w:pPr>
        <w:pStyle w:val="FirstParagraph"/>
      </w:pPr>
      <w:r>
        <w:t xml:space="preserve">以下两行来自实际执行的</w:t>
      </w:r>
      <w:r>
        <w:rPr>
          <w:rStyle w:val="VerbatimChar"/>
        </w:rPr>
        <w:t xml:space="preserve">pipeline.R</w:t>
      </w:r>
      <w:r>
        <w:t xml:space="preserve">。第一行对指定assay估计方差，第二行选择固定数量的高变基因。</w:t>
      </w:r>
    </w:p>
    <w:p>
      <w:pPr>
        <w:pStyle w:val="SourceCode"/>
        <w:keepLines w:val="0"/>
        <w:spacing w:before="60" w:after="60"/>
      </w:pPr>
      <w:r>
        <w:rPr>
          <w:rStyle w:val="NormalTok"/>
          <w:sz w:val="16"/>
        </w:rPr>
        <w:t xml:space="preserve">gv </w:t>
      </w:r>
      <w:r>
        <w:rPr>
          <w:rStyle w:val="OtherTok"/>
          <w:sz w:val="16"/>
        </w:rPr>
        <w:t xml:space="preserve">&lt;-</w:t>
      </w:r>
      <w:r>
        <w:rPr>
          <w:rStyle w:val="NormalTok"/>
          <w:sz w:val="16"/>
        </w:rPr>
        <w:t xml:space="preserve"> </w:t>
      </w:r>
      <w:r>
        <w:rPr>
          <w:rStyle w:val="FunctionTok"/>
          <w:sz w:val="16"/>
        </w:rPr>
        <w:t xml:space="preserve">timed</w:t>
      </w:r>
      <w:r>
        <w:rPr>
          <w:rStyle w:val="NormalTok"/>
          <w:sz w:val="16"/>
        </w:rPr>
        <w:t xml:space="preserve">(</w:t>
      </w:r>
      <w:r>
        <w:rPr>
          <w:rStyle w:val="StringTok"/>
          <w:sz w:val="16"/>
        </w:rPr>
        <w:t xml:space="preserve">"modelGeneVar"</w:t>
      </w:r>
      <w:r>
        <w:rPr>
          <w:rStyle w:val="NormalTok"/>
          <w:sz w:val="16"/>
        </w:rPr>
        <w:t xml:space="preserve">, scran</w:t>
      </w:r>
      <w:r>
        <w:rPr>
          <w:rStyle w:val="SpecialCharTok"/>
          <w:sz w:val="16"/>
        </w:rPr>
        <w:t xml:space="preserve">::</w:t>
      </w:r>
      <w:r>
        <w:rPr>
          <w:rStyle w:val="FunctionTok"/>
          <w:sz w:val="16"/>
        </w:rPr>
        <w:t xml:space="preserve">modelGeneVar</w:t>
      </w:r>
      <w:r>
        <w:rPr>
          <w:rStyle w:val="NormalTok"/>
          <w:sz w:val="16"/>
        </w:rPr>
        <w:t xml:space="preserve">(sce, </w:t>
      </w:r>
      <w:r>
        <w:rPr>
          <w:rStyle w:val="AttributeTok"/>
          <w:sz w:val="16"/>
        </w:rPr>
        <w:t xml:space="preserve">assay.type =</w:t>
      </w:r>
      <w:r>
        <w:rPr>
          <w:rStyle w:val="NormalTok"/>
          <w:sz w:val="16"/>
        </w:rPr>
        <w:t xml:space="preserve"> cfg</w:t>
      </w:r>
      <w:r>
        <w:rPr>
          <w:rStyle w:val="SpecialCharTok"/>
          <w:sz w:val="16"/>
        </w:rPr>
        <w:t xml:space="preserve">$</w:t>
      </w:r>
      <w:r>
        <w:rPr>
          <w:rStyle w:val="NormalTok"/>
          <w:sz w:val="16"/>
        </w:rPr>
        <w:t xml:space="preserve">assay))</w:t>
      </w:r>
      <w:r>
        <w:rPr>
          <w:sz w:val="16"/>
        </w:rPr>
        <w:br/>
      </w:r>
      <w:r>
        <w:rPr>
          <w:rStyle w:val="NormalTok"/>
          <w:sz w:val="16"/>
        </w:rPr>
        <w:t xml:space="preserve">chosen </w:t>
      </w:r>
      <w:r>
        <w:rPr>
          <w:rStyle w:val="OtherTok"/>
          <w:sz w:val="16"/>
        </w:rPr>
        <w:t xml:space="preserve">&lt;-</w:t>
      </w:r>
      <w:r>
        <w:rPr>
          <w:rStyle w:val="NormalTok"/>
          <w:sz w:val="16"/>
        </w:rPr>
        <w:t xml:space="preserve"> scran</w:t>
      </w:r>
      <w:r>
        <w:rPr>
          <w:rStyle w:val="SpecialCharTok"/>
          <w:sz w:val="16"/>
        </w:rPr>
        <w:t xml:space="preserve">::</w:t>
      </w:r>
      <w:r>
        <w:rPr>
          <w:rStyle w:val="FunctionTok"/>
          <w:sz w:val="16"/>
        </w:rPr>
        <w:t xml:space="preserve">getTopHVGs</w:t>
      </w:r>
      <w:r>
        <w:rPr>
          <w:rStyle w:val="NormalTok"/>
          <w:sz w:val="16"/>
        </w:rPr>
        <w:t xml:space="preserve">(gv, </w:t>
      </w:r>
      <w:r>
        <w:rPr>
          <w:rStyle w:val="AttributeTok"/>
          <w:sz w:val="16"/>
        </w:rPr>
        <w:t xml:space="preserve">n =</w:t>
      </w:r>
      <w:r>
        <w:rPr>
          <w:rStyle w:val="NormalTok"/>
          <w:sz w:val="16"/>
        </w:rPr>
        <w:t xml:space="preserve"> cfg</w:t>
      </w:r>
      <w:r>
        <w:rPr>
          <w:rStyle w:val="SpecialCharTok"/>
          <w:sz w:val="16"/>
        </w:rPr>
        <w:t xml:space="preserve">$</w:t>
      </w:r>
      <w:r>
        <w:rPr>
          <w:rStyle w:val="NormalTok"/>
          <w:sz w:val="16"/>
        </w:rPr>
        <w:t xml:space="preserve">hvg_n, </w:t>
      </w:r>
      <w:r>
        <w:rPr>
          <w:rStyle w:val="AttributeTok"/>
          <w:sz w:val="16"/>
        </w:rPr>
        <w:t xml:space="preserve">var.threshold =</w:t>
      </w:r>
      <w:r>
        <w:rPr>
          <w:rStyle w:val="NormalTok"/>
          <w:sz w:val="16"/>
        </w:rPr>
        <w:t xml:space="preserve"> </w:t>
      </w:r>
      <w:r>
        <w:rPr>
          <w:rStyle w:val="ConstantTok"/>
          <w:sz w:val="16"/>
        </w:rPr>
        <w:t xml:space="preserve">NULL</w:t>
      </w:r>
      <w:r>
        <w:rPr>
          <w:rStyle w:val="NormalTok"/>
          <w:sz w:val="16"/>
        </w:rPr>
        <w:t xml:space="preserve">)</w:t>
      </w:r>
    </w:p>
    <w:p>
      <w:pPr>
        <w:pStyle w:val="FirstParagraph"/>
      </w:pPr>
      <w:r>
        <w:rPr>
          <w:rStyle w:val="VerbatimChar"/>
        </w:rPr>
        <w:t xml:space="preserve">cfg$assay</w:t>
      </w:r>
      <w:r>
        <w:t xml:space="preserve">为</w:t>
      </w:r>
      <w:r>
        <w:rPr>
          <w:rStyle w:val="VerbatimChar"/>
        </w:rPr>
        <w:t xml:space="preserve">logcounts</w:t>
      </w:r>
      <w:r>
        <w:t xml:space="preserve">，</w:t>
      </w:r>
      <w:r>
        <w:rPr>
          <w:rStyle w:val="VerbatimChar"/>
        </w:rPr>
        <w:t xml:space="preserve">cfg$hvg_n</w:t>
      </w:r>
      <w:r>
        <w:t xml:space="preserve">为6000。导出完整方差表与高变基因列表后，使用</w:t>
      </w:r>
      <w:r>
        <w:rPr>
          <w:rStyle w:val="VerbatimChar"/>
        </w:rPr>
        <w:t xml:space="preserve">sce[chosen, ]</w:t>
      </w:r>
      <w:r>
        <w:t xml:space="preserve">建立子对象，使后续CA、基因分配和图表共享同一特征顺序。</w:t>
      </w:r>
    </w:p>
    <w:bookmarkEnd w:id="43"/>
    <w:bookmarkStart w:id="44" w:name="ca与方向聚类"/>
    <w:p>
      <w:pPr>
        <w:pStyle w:val="Heading2"/>
      </w:pPr>
      <w:r>
        <w:t xml:space="preserve">5.3 CA与方向聚类</w:t>
      </w:r>
    </w:p>
    <w:p>
      <w:pPr>
        <w:pStyle w:val="FirstParagraph"/>
      </w:pPr>
      <w:r>
        <w:t xml:space="preserve">CA调用将输入矩阵和配置中的维数、残差类型及坐标选项传给APL：</w:t>
      </w:r>
    </w:p>
    <w:p>
      <w:pPr>
        <w:pStyle w:val="SourceCode"/>
        <w:keepLines w:val="0"/>
        <w:spacing w:before="60" w:after="60"/>
      </w:pPr>
      <w:r>
        <w:rPr>
          <w:rStyle w:val="NormalTok"/>
          <w:sz w:val="16"/>
        </w:rPr>
        <w:t xml:space="preserve">ca </w:t>
      </w:r>
      <w:r>
        <w:rPr>
          <w:rStyle w:val="OtherTok"/>
          <w:sz w:val="16"/>
        </w:rPr>
        <w:t xml:space="preserve">&lt;-</w:t>
      </w:r>
      <w:r>
        <w:rPr>
          <w:rStyle w:val="NormalTok"/>
          <w:sz w:val="16"/>
        </w:rPr>
        <w:t xml:space="preserve"> </w:t>
      </w:r>
      <w:r>
        <w:rPr>
          <w:rStyle w:val="FunctionTok"/>
          <w:sz w:val="16"/>
        </w:rPr>
        <w:t xml:space="preserve">timed</w:t>
      </w:r>
      <w:r>
        <w:rPr>
          <w:rStyle w:val="NormalTok"/>
          <w:sz w:val="16"/>
        </w:rPr>
        <w:t xml:space="preserve">(</w:t>
      </w:r>
      <w:r>
        <w:rPr>
          <w:rStyle w:val="StringTok"/>
          <w:sz w:val="16"/>
        </w:rPr>
        <w:t xml:space="preserve">"CA"</w:t>
      </w:r>
      <w:r>
        <w:rPr>
          <w:rStyle w:val="NormalTok"/>
          <w:sz w:val="16"/>
        </w:rPr>
        <w:t xml:space="preserve">, </w:t>
      </w:r>
      <w:r>
        <w:rPr>
          <w:rStyle w:val="FunctionTok"/>
          <w:sz w:val="16"/>
        </w:rPr>
        <w:t xml:space="preserve">do.call</w:t>
      </w:r>
      <w:r>
        <w:rPr>
          <w:rStyle w:val="NormalTok"/>
          <w:sz w:val="16"/>
        </w:rPr>
        <w:t xml:space="preserve">(APL</w:t>
      </w:r>
      <w:r>
        <w:rPr>
          <w:rStyle w:val="SpecialCharTok"/>
          <w:sz w:val="16"/>
        </w:rPr>
        <w:t xml:space="preserve">::</w:t>
      </w:r>
      <w:r>
        <w:rPr>
          <w:rStyle w:val="NormalTok"/>
          <w:sz w:val="16"/>
        </w:rPr>
        <w:t xml:space="preserve">cacomp,</w:t>
      </w:r>
      <w:r>
        <w:rPr>
          <w:sz w:val="16"/>
        </w:rPr>
        <w:br/>
      </w:r>
      <w:r>
        <w:rPr>
          <w:rStyle w:val="NormalTok"/>
          <w:sz w:val="16"/>
        </w:rPr>
        <w:t xml:space="preserve">  </w:t>
      </w:r>
      <w:r>
        <w:rPr>
          <w:rStyle w:val="FunctionTok"/>
          <w:sz w:val="16"/>
        </w:rPr>
        <w:t xml:space="preserve">c</w:t>
      </w:r>
      <w:r>
        <w:rPr>
          <w:rStyle w:val="NormalTok"/>
          <w:sz w:val="16"/>
        </w:rPr>
        <w:t xml:space="preserve">(</w:t>
      </w:r>
      <w:r>
        <w:rPr>
          <w:rStyle w:val="FunctionTok"/>
          <w:sz w:val="16"/>
        </w:rPr>
        <w:t xml:space="preserve">list</w:t>
      </w:r>
      <w:r>
        <w:rPr>
          <w:rStyle w:val="NormalTok"/>
          <w:sz w:val="16"/>
        </w:rPr>
        <w:t xml:space="preserve">(</w:t>
      </w:r>
      <w:r>
        <w:rPr>
          <w:rStyle w:val="AttributeTok"/>
          <w:sz w:val="16"/>
        </w:rPr>
        <w:t xml:space="preserve">obj =</w:t>
      </w:r>
      <w:r>
        <w:rPr>
          <w:rStyle w:val="NormalTok"/>
          <w:sz w:val="16"/>
        </w:rPr>
        <w:t xml:space="preserve"> </w:t>
      </w:r>
      <w:r>
        <w:rPr>
          <w:rStyle w:val="FunctionTok"/>
          <w:sz w:val="16"/>
        </w:rPr>
        <w:t xml:space="preserve">assay</w:t>
      </w:r>
      <w:r>
        <w:rPr>
          <w:rStyle w:val="NormalTok"/>
          <w:sz w:val="16"/>
        </w:rPr>
        <w:t xml:space="preserve">(sce_sub, cfg</w:t>
      </w:r>
      <w:r>
        <w:rPr>
          <w:rStyle w:val="SpecialCharTok"/>
          <w:sz w:val="16"/>
        </w:rPr>
        <w:t xml:space="preserve">$</w:t>
      </w:r>
      <w:r>
        <w:rPr>
          <w:rStyle w:val="NormalTok"/>
          <w:sz w:val="16"/>
        </w:rPr>
        <w:t xml:space="preserve">assay), </w:t>
      </w:r>
      <w:r>
        <w:rPr>
          <w:rStyle w:val="AttributeTok"/>
          <w:sz w:val="16"/>
        </w:rPr>
        <w:t xml:space="preserve">top =</w:t>
      </w:r>
      <w:r>
        <w:rPr>
          <w:rStyle w:val="NormalTok"/>
          <w:sz w:val="16"/>
        </w:rPr>
        <w:t xml:space="preserve"> </w:t>
      </w:r>
      <w:r>
        <w:rPr>
          <w:rStyle w:val="FunctionTok"/>
          <w:sz w:val="16"/>
        </w:rPr>
        <w:t xml:space="preserve">nrow</w:t>
      </w:r>
      <w:r>
        <w:rPr>
          <w:rStyle w:val="NormalTok"/>
          <w:sz w:val="16"/>
        </w:rPr>
        <w:t xml:space="preserve">(sce_sub)), cfg</w:t>
      </w:r>
      <w:r>
        <w:rPr>
          <w:rStyle w:val="SpecialCharTok"/>
          <w:sz w:val="16"/>
        </w:rPr>
        <w:t xml:space="preserve">$</w:t>
      </w:r>
      <w:r>
        <w:rPr>
          <w:rStyle w:val="NormalTok"/>
          <w:sz w:val="16"/>
        </w:rPr>
        <w:t xml:space="preserve">ca)))</w:t>
      </w:r>
    </w:p>
    <w:p>
      <w:pPr>
        <w:pStyle w:val="FirstParagraph"/>
      </w:pPr>
      <w:r>
        <w:rPr>
          <w:rStyle w:val="VerbatimChar"/>
        </w:rPr>
        <w:t xml:space="preserve">top=nrow(sce_sub)</w:t>
      </w:r>
      <w:r>
        <w:t xml:space="preserve">将已经选定的所有6000个特征交给CA。返回对象中，</w:t>
      </w:r>
      <w:r>
        <w:rPr>
          <w:rStyle w:val="VerbatimChar"/>
        </w:rPr>
        <w:t xml:space="preserve">prin_coords_cols</w:t>
      </w:r>
      <w:r>
        <w:t xml:space="preserve">为细胞主坐标，</w:t>
      </w:r>
      <w:r>
        <w:rPr>
          <w:rStyle w:val="VerbatimChar"/>
        </w:rPr>
        <w:t xml:space="preserve">prin_coords_rows</w:t>
      </w:r>
      <w:r>
        <w:t xml:space="preserve">为基因主坐标，</w:t>
      </w:r>
      <w:r>
        <w:rPr>
          <w:rStyle w:val="VerbatimChar"/>
        </w:rPr>
        <w:t xml:space="preserve">std_coords_cols</w:t>
      </w:r>
      <w:r>
        <w:t xml:space="preserve">与</w:t>
      </w:r>
      <w:r>
        <w:rPr>
          <w:rStyle w:val="VerbatimChar"/>
        </w:rPr>
        <w:t xml:space="preserve">std_coords_rows</w:t>
      </w:r>
      <w:r>
        <w:t xml:space="preserve">为标准坐标，</w:t>
      </w:r>
      <w:r>
        <w:rPr>
          <w:rStyle w:val="VerbatimChar"/>
        </w:rPr>
        <w:t xml:space="preserve">D</w:t>
      </w:r>
      <w:r>
        <w:t xml:space="preserve">保存奇异值。脚本检查细胞数、维数和有限值后保存对象。</w:t>
      </w:r>
    </w:p>
    <w:p>
      <w:pPr>
        <w:pStyle w:val="BodyText"/>
      </w:pPr>
      <w:r>
        <w:t xml:space="preserve">CAdir通过</w:t>
      </w:r>
      <w:r>
        <w:rPr>
          <w:rStyle w:val="VerbatimChar"/>
        </w:rPr>
        <w:t xml:space="preserve">dirclust_splitmerge</w:t>
      </w:r>
      <w:r>
        <w:t xml:space="preserve">接收该对象。配置中的</w:t>
      </w:r>
      <w:r>
        <w:rPr>
          <w:rStyle w:val="VerbatimChar"/>
        </w:rPr>
        <w:t xml:space="preserve">k</w:t>
      </w:r>
      <w:r>
        <w:t xml:space="preserve">、</w:t>
      </w:r>
      <w:r>
        <w:rPr>
          <w:rStyle w:val="VerbatimChar"/>
        </w:rPr>
        <w:t xml:space="preserve">cutoff</w:t>
      </w:r>
      <w:r>
        <w:t xml:space="preserve">、</w:t>
      </w:r>
      <w:r>
        <w:rPr>
          <w:rStyle w:val="VerbatimChar"/>
        </w:rPr>
        <w:t xml:space="preserve">min_cells</w:t>
      </w:r>
      <w:r>
        <w:t xml:space="preserve">、</w:t>
      </w:r>
      <w:r>
        <w:rPr>
          <w:rStyle w:val="VerbatimChar"/>
        </w:rPr>
        <w:t xml:space="preserve">qcutoff</w:t>
      </w:r>
      <w:r>
        <w:t xml:space="preserve">、</w:t>
      </w:r>
      <w:r>
        <w:rPr>
          <w:rStyle w:val="VerbatimChar"/>
        </w:rPr>
        <w:t xml:space="preserve">max_iter</w:t>
      </w:r>
      <w:r>
        <w:t xml:space="preserve">和</w:t>
      </w:r>
      <w:r>
        <w:rPr>
          <w:rStyle w:val="VerbatimChar"/>
        </w:rPr>
        <w:t xml:space="preserve">keep_log</w:t>
      </w:r>
      <w:r>
        <w:t xml:space="preserve">分别控制初始方向数、拆分合并角度、最小簇规模、基因候选范围、迭代上限和历史保存。上游</w:t>
      </w:r>
      <w:r>
        <w:rPr>
          <w:rStyle w:val="VerbatimChar"/>
        </w:rPr>
        <w:t xml:space="preserve">dirclust.R</w:t>
      </w:r>
      <w:r>
        <w:t xml:space="preserve">中的</w:t>
      </w:r>
      <w:r>
        <w:rPr>
          <w:rStyle w:val="VerbatimChar"/>
        </w:rPr>
        <w:t xml:space="preserve">dist_to_line</w:t>
      </w:r>
      <w:r>
        <w:t xml:space="preserve">实现第3.3节距离公式；</w:t>
      </w:r>
      <w:r>
        <w:rPr>
          <w:rStyle w:val="VerbatimChar"/>
        </w:rPr>
        <w:t xml:space="preserve">total_least_squares</w:t>
      </w:r>
      <w:r>
        <w:t xml:space="preserve">使用</w:t>
      </w:r>
      <w:r>
        <w:rPr>
          <w:rStyle w:val="VerbatimChar"/>
        </w:rPr>
        <w:t xml:space="preserve">irlba</w:t>
      </w:r>
      <w:r>
        <w:t xml:space="preserve">提取方向；</w:t>
      </w:r>
      <w:r>
        <w:rPr>
          <w:rStyle w:val="VerbatimChar"/>
        </w:rPr>
        <w:t xml:space="preserve">splitmerge.R</w:t>
      </w:r>
      <w:r>
        <w:t xml:space="preserve">组织外层拆分合并。</w:t>
      </w:r>
    </w:p>
    <w:bookmarkEnd w:id="44"/>
    <w:bookmarkStart w:id="45" w:name="完整基因导出与排名"/>
    <w:p>
      <w:pPr>
        <w:pStyle w:val="Heading2"/>
      </w:pPr>
      <w:r>
        <w:t xml:space="preserve">5.4 完整基因导出与排名</w:t>
      </w:r>
    </w:p>
    <w:p>
      <w:pPr>
        <w:pStyle w:val="FirstParagraph"/>
      </w:pPr>
      <w:r>
        <w:t xml:space="preserve">实际导出先按全部CA基因ID建立结果表，再通过名称索引填入上游分配：</w:t>
      </w:r>
    </w:p>
    <w:p>
      <w:pPr>
        <w:pStyle w:val="SourceCode"/>
        <w:keepLines w:val="0"/>
        <w:spacing w:before="60" w:after="60"/>
      </w:pPr>
      <w:r>
        <w:rPr>
          <w:rStyle w:val="NormalTok"/>
          <w:sz w:val="16"/>
        </w:rPr>
        <w:t xml:space="preserve">gene_cl </w:t>
      </w:r>
      <w:r>
        <w:rPr>
          <w:rStyle w:val="OtherTok"/>
          <w:sz w:val="16"/>
        </w:rPr>
        <w:t xml:space="preserve">&lt;-</w:t>
      </w:r>
      <w:r>
        <w:rPr>
          <w:rStyle w:val="NormalTok"/>
          <w:sz w:val="16"/>
        </w:rPr>
        <w:t xml:space="preserve"> </w:t>
      </w:r>
      <w:r>
        <w:rPr>
          <w:rStyle w:val="FunctionTok"/>
          <w:sz w:val="16"/>
        </w:rPr>
        <w:t xml:space="preserve">setNames</w:t>
      </w:r>
      <w:r>
        <w:rPr>
          <w:rStyle w:val="NormalTok"/>
          <w:sz w:val="16"/>
        </w:rPr>
        <w:t xml:space="preserve">(</w:t>
      </w:r>
      <w:r>
        <w:rPr>
          <w:rStyle w:val="FunctionTok"/>
          <w:sz w:val="16"/>
        </w:rPr>
        <w:t xml:space="preserve">as.character</w:t>
      </w:r>
      <w:r>
        <w:rPr>
          <w:rStyle w:val="NormalTok"/>
          <w:sz w:val="16"/>
        </w:rPr>
        <w:t xml:space="preserve">(cadir</w:t>
      </w:r>
      <w:r>
        <w:rPr>
          <w:rStyle w:val="SpecialCharTok"/>
          <w:sz w:val="16"/>
        </w:rPr>
        <w:t xml:space="preserve">@</w:t>
      </w:r>
      <w:r>
        <w:rPr>
          <w:rStyle w:val="NormalTok"/>
          <w:sz w:val="16"/>
        </w:rPr>
        <w:t xml:space="preserve">gene_clusters), </w:t>
      </w:r>
      <w:r>
        <w:rPr>
          <w:rStyle w:val="FunctionTok"/>
          <w:sz w:val="16"/>
        </w:rPr>
        <w:t xml:space="preserve">names</w:t>
      </w:r>
      <w:r>
        <w:rPr>
          <w:rStyle w:val="NormalTok"/>
          <w:sz w:val="16"/>
        </w:rPr>
        <w:t xml:space="preserve">(cadir</w:t>
      </w:r>
      <w:r>
        <w:rPr>
          <w:rStyle w:val="SpecialCharTok"/>
          <w:sz w:val="16"/>
        </w:rPr>
        <w:t xml:space="preserve">@</w:t>
      </w:r>
      <w:r>
        <w:rPr>
          <w:rStyle w:val="NormalTok"/>
          <w:sz w:val="16"/>
        </w:rPr>
        <w:t xml:space="preserve">gene_clusters))</w:t>
      </w:r>
      <w:r>
        <w:rPr>
          <w:sz w:val="16"/>
        </w:rPr>
        <w:br/>
      </w:r>
      <w:r>
        <w:rPr>
          <w:rStyle w:val="NormalTok"/>
          <w:sz w:val="16"/>
        </w:rPr>
        <w:t xml:space="preserve">gene_results </w:t>
      </w:r>
      <w:r>
        <w:rPr>
          <w:rStyle w:val="OtherTok"/>
          <w:sz w:val="16"/>
        </w:rPr>
        <w:t xml:space="preserve">&lt;-</w:t>
      </w:r>
      <w:r>
        <w:rPr>
          <w:rStyle w:val="NormalTok"/>
          <w:sz w:val="16"/>
        </w:rPr>
        <w:t xml:space="preserve"> </w:t>
      </w:r>
      <w:r>
        <w:rPr>
          <w:rStyle w:val="FunctionTok"/>
          <w:sz w:val="16"/>
        </w:rPr>
        <w:t xml:space="preserve">data.frame</w:t>
      </w:r>
      <w:r>
        <w:rPr>
          <w:rStyle w:val="NormalTok"/>
          <w:sz w:val="16"/>
        </w:rPr>
        <w:t xml:space="preserve">(</w:t>
      </w:r>
      <w:r>
        <w:rPr>
          <w:rStyle w:val="AttributeTok"/>
          <w:sz w:val="16"/>
        </w:rPr>
        <w:t xml:space="preserve">gene_id =</w:t>
      </w:r>
      <w:r>
        <w:rPr>
          <w:rStyle w:val="NormalTok"/>
          <w:sz w:val="16"/>
        </w:rPr>
        <w:t xml:space="preserve"> </w:t>
      </w:r>
      <w:r>
        <w:rPr>
          <w:rStyle w:val="FunctionTok"/>
          <w:sz w:val="16"/>
        </w:rPr>
        <w:t xml:space="preserve">rownames</w:t>
      </w:r>
      <w:r>
        <w:rPr>
          <w:rStyle w:val="NormalTok"/>
          <w:sz w:val="16"/>
        </w:rPr>
        <w:t xml:space="preserve">(ca</w:t>
      </w:r>
      <w:r>
        <w:rPr>
          <w:rStyle w:val="SpecialCharTok"/>
          <w:sz w:val="16"/>
        </w:rPr>
        <w:t xml:space="preserve">@</w:t>
      </w:r>
      <w:r>
        <w:rPr>
          <w:rStyle w:val="NormalTok"/>
          <w:sz w:val="16"/>
        </w:rPr>
        <w:t xml:space="preserve">prin_coords_rows),</w:t>
      </w:r>
      <w:r>
        <w:rPr>
          <w:sz w:val="16"/>
        </w:rPr>
        <w:br/>
      </w:r>
      <w:r>
        <w:rPr>
          <w:rStyle w:val="NormalTok"/>
          <w:sz w:val="16"/>
        </w:rPr>
        <w:t xml:space="preserve">  </w:t>
      </w:r>
      <w:r>
        <w:rPr>
          <w:rStyle w:val="AttributeTok"/>
          <w:sz w:val="16"/>
        </w:rPr>
        <w:t xml:space="preserve">cluster =</w:t>
      </w:r>
      <w:r>
        <w:rPr>
          <w:rStyle w:val="NormalTok"/>
          <w:sz w:val="16"/>
        </w:rPr>
        <w:t xml:space="preserve"> </w:t>
      </w:r>
      <w:r>
        <w:rPr>
          <w:rStyle w:val="FunctionTok"/>
          <w:sz w:val="16"/>
        </w:rPr>
        <w:t xml:space="preserve">unname</w:t>
      </w:r>
      <w:r>
        <w:rPr>
          <w:rStyle w:val="NormalTok"/>
          <w:sz w:val="16"/>
        </w:rPr>
        <w:t xml:space="preserve">(gene_cl[</w:t>
      </w:r>
      <w:r>
        <w:rPr>
          <w:rStyle w:val="FunctionTok"/>
          <w:sz w:val="16"/>
        </w:rPr>
        <w:t xml:space="preserve">rownames</w:t>
      </w:r>
      <w:r>
        <w:rPr>
          <w:rStyle w:val="NormalTok"/>
          <w:sz w:val="16"/>
        </w:rPr>
        <w:t xml:space="preserve">(ca</w:t>
      </w:r>
      <w:r>
        <w:rPr>
          <w:rStyle w:val="SpecialCharTok"/>
          <w:sz w:val="16"/>
        </w:rPr>
        <w:t xml:space="preserve">@</w:t>
      </w:r>
      <w:r>
        <w:rPr>
          <w:rStyle w:val="NormalTok"/>
          <w:sz w:val="16"/>
        </w:rPr>
        <w:t xml:space="preserve">prin_coords_rows)]))</w:t>
      </w:r>
    </w:p>
    <w:p>
      <w:pPr>
        <w:pStyle w:val="FirstParagraph"/>
      </w:pPr>
      <w:r>
        <w:t xml:space="preserve">因此6000个输入基因均保存在导出表中，1200个有簇号，4800个为NA。排名由</w:t>
      </w:r>
      <w:r>
        <w:rPr>
          <w:rStyle w:val="VerbatimChar"/>
        </w:rPr>
        <w:t xml:space="preserve">CAdir::rank_genes(cadir=cadir, caobj=ca)</w:t>
      </w:r>
      <w:r>
        <w:t xml:space="preserve">执行。上游核心得分语句为：</w:t>
      </w:r>
    </w:p>
    <w:p>
      <w:pPr>
        <w:pStyle w:val="SourceCode"/>
        <w:keepLines w:val="0"/>
        <w:spacing w:before="60" w:after="60"/>
      </w:pPr>
      <w:r>
        <w:rPr>
          <w:rStyle w:val="NormalTok"/>
          <w:sz w:val="16"/>
        </w:rPr>
        <w:t xml:space="preserve">score </w:t>
      </w:r>
      <w:r>
        <w:rPr>
          <w:rStyle w:val="OtherTok"/>
          <w:sz w:val="16"/>
        </w:rPr>
        <w:t xml:space="preserve">&lt;-</w:t>
      </w:r>
      <w:r>
        <w:rPr>
          <w:rStyle w:val="NormalTok"/>
          <w:sz w:val="16"/>
        </w:rPr>
        <w:t xml:space="preserve"> gene_coords[, </w:t>
      </w:r>
      <w:r>
        <w:rPr>
          <w:rStyle w:val="DecValTok"/>
          <w:sz w:val="16"/>
        </w:rPr>
        <w:t xml:space="preserve">1</w:t>
      </w:r>
      <w:r>
        <w:rPr>
          <w:rStyle w:val="NormalTok"/>
          <w:sz w:val="16"/>
        </w:rPr>
        <w:t xml:space="preserve">] </w:t>
      </w:r>
      <w:r>
        <w:rPr>
          <w:rStyle w:val="SpecialCharTok"/>
          <w:sz w:val="16"/>
        </w:rPr>
        <w:t xml:space="preserve">-</w:t>
      </w:r>
      <w:r>
        <w:rPr>
          <w:rStyle w:val="NormalTok"/>
          <w:sz w:val="16"/>
        </w:rPr>
        <w:t xml:space="preserve"> (gene_coords[, </w:t>
      </w:r>
      <w:r>
        <w:rPr>
          <w:rStyle w:val="DecValTok"/>
          <w:sz w:val="16"/>
        </w:rPr>
        <w:t xml:space="preserve">2</w:t>
      </w:r>
      <w:r>
        <w:rPr>
          <w:rStyle w:val="NormalTok"/>
          <w:sz w:val="16"/>
        </w:rPr>
        <w:t xml:space="preserve">] </w:t>
      </w:r>
      <w:r>
        <w:rPr>
          <w:rStyle w:val="SpecialCharTok"/>
          <w:sz w:val="16"/>
        </w:rPr>
        <w:t xml:space="preserve">*</w:t>
      </w:r>
      <w:r>
        <w:rPr>
          <w:rStyle w:val="NormalTok"/>
          <w:sz w:val="16"/>
        </w:rPr>
        <w:t xml:space="preserve"> alpha)</w:t>
      </w:r>
      <w:r>
        <w:rPr>
          <w:sz w:val="16"/>
        </w:rPr>
        <w:br/>
      </w:r>
      <w:r>
        <w:rPr>
          <w:rStyle w:val="NormalTok"/>
          <w:sz w:val="16"/>
        </w:rPr>
        <w:t xml:space="preserve">ranking </w:t>
      </w:r>
      <w:r>
        <w:rPr>
          <w:rStyle w:val="OtherTok"/>
          <w:sz w:val="16"/>
        </w:rPr>
        <w:t xml:space="preserve">&lt;-</w:t>
      </w:r>
      <w:r>
        <w:rPr>
          <w:rStyle w:val="NormalTok"/>
          <w:sz w:val="16"/>
        </w:rPr>
        <w:t xml:space="preserve"> ranking[</w:t>
      </w:r>
      <w:r>
        <w:rPr>
          <w:rStyle w:val="FunctionTok"/>
          <w:sz w:val="16"/>
        </w:rPr>
        <w:t xml:space="preserve">order</w:t>
      </w:r>
      <w:r>
        <w:rPr>
          <w:rStyle w:val="NormalTok"/>
          <w:sz w:val="16"/>
        </w:rPr>
        <w:t xml:space="preserve">(ranking</w:t>
      </w:r>
      <w:r>
        <w:rPr>
          <w:rStyle w:val="SpecialCharTok"/>
          <w:sz w:val="16"/>
        </w:rPr>
        <w:t xml:space="preserve">$</w:t>
      </w:r>
      <w:r>
        <w:rPr>
          <w:rStyle w:val="NormalTok"/>
          <w:sz w:val="16"/>
        </w:rPr>
        <w:t xml:space="preserve">Score, </w:t>
      </w:r>
      <w:r>
        <w:rPr>
          <w:rStyle w:val="AttributeTok"/>
          <w:sz w:val="16"/>
        </w:rPr>
        <w:t xml:space="preserve">decreasing =</w:t>
      </w:r>
      <w:r>
        <w:rPr>
          <w:rStyle w:val="NormalTok"/>
          <w:sz w:val="16"/>
        </w:rPr>
        <w:t xml:space="preserve"> </w:t>
      </w:r>
      <w:r>
        <w:rPr>
          <w:rStyle w:val="ConstantTok"/>
          <w:sz w:val="16"/>
        </w:rPr>
        <w:t xml:space="preserve">TRUE</w:t>
      </w:r>
      <w:r>
        <w:rPr>
          <w:rStyle w:val="NormalTok"/>
          <w:sz w:val="16"/>
        </w:rPr>
        <w:t xml:space="preserve">), ]</w:t>
      </w:r>
      <w:r>
        <w:rPr>
          <w:sz w:val="16"/>
        </w:rPr>
        <w:br/>
      </w:r>
      <w:r>
        <w:rPr>
          <w:rStyle w:val="NormalTok"/>
          <w:sz w:val="16"/>
        </w:rPr>
        <w:t xml:space="preserve">ranking</w:t>
      </w:r>
      <w:r>
        <w:rPr>
          <w:rStyle w:val="SpecialCharTok"/>
          <w:sz w:val="16"/>
        </w:rPr>
        <w:t xml:space="preserve">$</w:t>
      </w:r>
      <w:r>
        <w:rPr>
          <w:rStyle w:val="NormalTok"/>
          <w:sz w:val="16"/>
        </w:rPr>
        <w:t xml:space="preserve">Rank </w:t>
      </w:r>
      <w:r>
        <w:rPr>
          <w:rStyle w:val="OtherTok"/>
          <w:sz w:val="16"/>
        </w:rPr>
        <w:t xml:space="preserve">&lt;-</w:t>
      </w:r>
      <w:r>
        <w:rPr>
          <w:rStyle w:val="NormalTok"/>
          <w:sz w:val="16"/>
        </w:rPr>
        <w:t xml:space="preserve"> </w:t>
      </w:r>
      <w:r>
        <w:rPr>
          <w:rStyle w:val="FunctionTok"/>
          <w:sz w:val="16"/>
        </w:rPr>
        <w:t xml:space="preserve">seq_len</w:t>
      </w:r>
      <w:r>
        <w:rPr>
          <w:rStyle w:val="NormalTok"/>
          <w:sz w:val="16"/>
        </w:rPr>
        <w:t xml:space="preserve">(</w:t>
      </w:r>
      <w:r>
        <w:rPr>
          <w:rStyle w:val="FunctionTok"/>
          <w:sz w:val="16"/>
        </w:rPr>
        <w:t xml:space="preserve">nrow</w:t>
      </w:r>
      <w:r>
        <w:rPr>
          <w:rStyle w:val="NormalTok"/>
          <w:sz w:val="16"/>
        </w:rPr>
        <w:t xml:space="preserve">(ranking))</w:t>
      </w:r>
    </w:p>
    <w:p>
      <w:pPr>
        <w:pStyle w:val="FirstParagraph"/>
      </w:pPr>
      <w:r>
        <w:t xml:space="preserve">这里两列</w:t>
      </w:r>
      <w:r>
        <w:rPr>
          <w:rStyle w:val="VerbatimChar"/>
        </w:rPr>
        <w:t xml:space="preserve">gene_coords</w:t>
      </w:r>
      <w:r>
        <w:t xml:space="preserve">依次是关联图投影和正交距离。保存实际CA对象、alpha及排名阶段RNG，将每个得分绑定到本次运行的几何坐标。</w:t>
      </w:r>
    </w:p>
    <w:bookmarkEnd w:id="45"/>
    <w:bookmarkStart w:id="46" w:name="自动注释与参考评价"/>
    <w:p>
      <w:pPr>
        <w:pStyle w:val="Heading2"/>
      </w:pPr>
      <w:r>
        <w:t xml:space="preserve">5.5 自动注释与参考评价</w:t>
      </w:r>
    </w:p>
    <w:p>
      <w:pPr>
        <w:pStyle w:val="FirstParagraph"/>
      </w:pPr>
      <w:r>
        <w:t xml:space="preserve">注释调用指定</w:t>
      </w:r>
      <w:r>
        <w:rPr>
          <w:rStyle w:val="VerbatimChar"/>
        </w:rPr>
        <w:t xml:space="preserve">method="goa"</w:t>
      </w:r>
      <w:r>
        <w:t xml:space="preserve">、</w:t>
      </w:r>
      <w:r>
        <w:rPr>
          <w:rStyle w:val="VerbatimChar"/>
        </w:rPr>
        <w:t xml:space="preserve">set="CellMarker"</w:t>
      </w:r>
      <w:r>
        <w:t xml:space="preserve">、</w:t>
      </w:r>
      <w:r>
        <w:rPr>
          <w:rStyle w:val="VerbatimChar"/>
        </w:rPr>
        <w:t xml:space="preserve">org="mm"</w:t>
      </w:r>
      <w:r>
        <w:t xml:space="preserve">及</w:t>
      </w:r>
      <w:r>
        <w:rPr>
          <w:rStyle w:val="VerbatimChar"/>
        </w:rPr>
        <w:t xml:space="preserve">cost="logpval"</w:t>
      </w:r>
      <w:r>
        <w:t xml:space="preserve">，保存自动预测与原簇号的对应。评价使用输入原参考列</w:t>
      </w:r>
      <w:r>
        <w:rPr>
          <w:rStyle w:val="VerbatimChar"/>
        </w:rPr>
        <w:t xml:space="preserve">cell_ontology_class</w:t>
      </w:r>
      <w:r>
        <w:t xml:space="preserve">。</w:t>
      </w:r>
      <w:r>
        <w:rPr>
          <w:rStyle w:val="VerbatimChar"/>
        </w:rPr>
        <w:t xml:space="preserve">export_results</w:t>
      </w:r>
      <w:r>
        <w:t xml:space="preserve">先建立含</w:t>
      </w:r>
      <w:r>
        <w:rPr>
          <w:rStyle w:val="VerbatimChar"/>
        </w:rPr>
        <w:t xml:space="preserve">cell_id</w:t>
      </w:r>
      <w:r>
        <w:t xml:space="preserve">、</w:t>
      </w:r>
      <w:r>
        <w:rPr>
          <w:rStyle w:val="VerbatimChar"/>
        </w:rPr>
        <w:t xml:space="preserve">cluster</w:t>
      </w:r>
      <w:r>
        <w:t xml:space="preserve">和</w:t>
      </w:r>
      <w:r>
        <w:rPr>
          <w:rStyle w:val="VerbatimChar"/>
        </w:rPr>
        <w:t xml:space="preserve">reference</w:t>
      </w:r>
      <w:r>
        <w:t xml:space="preserve">的表，再调用</w:t>
      </w:r>
      <w:r>
        <w:rPr>
          <w:rStyle w:val="VerbatimChar"/>
        </w:rPr>
        <w:t xml:space="preserve">aricode::clustComp</w:t>
      </w:r>
      <w:r>
        <w:t xml:space="preserve">计算指标，并导出列联表。自动预测名称单独存放在</w:t>
      </w:r>
      <w:r>
        <w:rPr>
          <w:rStyle w:val="VerbatimChar"/>
        </w:rPr>
        <w:t xml:space="preserve">predicted_annotations.tsv</w:t>
      </w:r>
      <w:r>
        <w:t xml:space="preserve">。</w:t>
      </w:r>
    </w:p>
    <w:bookmarkEnd w:id="46"/>
    <w:bookmarkStart w:id="47" w:name="hsc基线与共同输入"/>
    <w:p>
      <w:pPr>
        <w:pStyle w:val="Heading2"/>
      </w:pPr>
      <w:r>
        <w:t xml:space="preserve">5.6 HSC基线与共同输入</w:t>
      </w:r>
    </w:p>
    <w:p>
      <w:pPr>
        <w:pStyle w:val="FirstParagraph"/>
      </w:pPr>
      <w:r>
        <w:t xml:space="preserve">HSC的</w:t>
      </w:r>
      <w:r>
        <w:rPr>
          <w:rStyle w:val="VerbatimChar"/>
        </w:rPr>
        <w:t xml:space="preserve">prepare_common.R</w:t>
      </w:r>
      <w:r>
        <w:t xml:space="preserve">执行共同QC、归一化、HVG及标签固定，输出</w:t>
      </w:r>
      <w:r>
        <w:rPr>
          <w:rStyle w:val="VerbatimChar"/>
        </w:rPr>
        <w:t xml:space="preserve">shared-hvg-sce.rds</w:t>
      </w:r>
      <w:r>
        <w:t xml:space="preserve">。正式入口</w:t>
      </w:r>
      <w:r>
        <w:rPr>
          <w:rStyle w:val="VerbatimChar"/>
        </w:rPr>
        <w:t xml:space="preserve">formal_run.R</w:t>
      </w:r>
      <w:r>
        <w:t xml:space="preserve">根据方法名执行CA方向聚类或PCA图聚类，所有种子读取相同表达对象。基线的关键参数如下，变量名与正式配置一致：</w:t>
      </w:r>
    </w:p>
    <w:p>
      <w:pPr>
        <w:pStyle w:val="SourceCode"/>
        <w:keepLines w:val="0"/>
        <w:spacing w:before="60" w:after="60"/>
      </w:pPr>
      <w:r>
        <w:rPr>
          <w:rStyle w:val="CommentTok"/>
          <w:sz w:val="16"/>
        </w:rPr>
        <w:t xml:space="preserve"># PCA：全部共同HVG，30维，按特征中心化且不做方差缩放</w:t>
      </w:r>
      <w:r>
        <w:rPr>
          <w:sz w:val="16"/>
        </w:rPr>
        <w:br/>
      </w:r>
      <w:r>
        <w:rPr>
          <w:rStyle w:val="NormalTok"/>
          <w:sz w:val="16"/>
        </w:rPr>
        <w:t xml:space="preserve">sce </w:t>
      </w:r>
      <w:r>
        <w:rPr>
          <w:rStyle w:val="OtherTok"/>
          <w:sz w:val="16"/>
        </w:rPr>
        <w:t xml:space="preserve">&lt;-</w:t>
      </w:r>
      <w:r>
        <w:rPr>
          <w:rStyle w:val="NormalTok"/>
          <w:sz w:val="16"/>
        </w:rPr>
        <w:t xml:space="preserve"> scater</w:t>
      </w:r>
      <w:r>
        <w:rPr>
          <w:rStyle w:val="SpecialCharTok"/>
          <w:sz w:val="16"/>
        </w:rPr>
        <w:t xml:space="preserve">::</w:t>
      </w:r>
      <w:r>
        <w:rPr>
          <w:rStyle w:val="FunctionTok"/>
          <w:sz w:val="16"/>
        </w:rPr>
        <w:t xml:space="preserve">runPCA</w:t>
      </w:r>
      <w:r>
        <w:rPr>
          <w:rStyle w:val="NormalTok"/>
          <w:sz w:val="16"/>
        </w:rPr>
        <w:t xml:space="preserve">(sce, </w:t>
      </w:r>
      <w:r>
        <w:rPr>
          <w:rStyle w:val="AttributeTok"/>
          <w:sz w:val="16"/>
        </w:rPr>
        <w:t xml:space="preserve">assay.type=</w:t>
      </w:r>
      <w:r>
        <w:rPr>
          <w:rStyle w:val="StringTok"/>
          <w:sz w:val="16"/>
        </w:rPr>
        <w:t xml:space="preserve">"logcounts"</w:t>
      </w:r>
      <w:r>
        <w:rPr>
          <w:rStyle w:val="NormalTok"/>
          <w:sz w:val="16"/>
        </w:rPr>
        <w:t xml:space="preserve">, </w:t>
      </w:r>
      <w:r>
        <w:rPr>
          <w:rStyle w:val="AttributeTok"/>
          <w:sz w:val="16"/>
        </w:rPr>
        <w:t xml:space="preserve">ncomponents=</w:t>
      </w:r>
      <w:r>
        <w:rPr>
          <w:rStyle w:val="DecValTok"/>
          <w:sz w:val="16"/>
        </w:rPr>
        <w:t xml:space="preserve">30</w:t>
      </w:r>
      <w:r>
        <w:rPr>
          <w:rStyle w:val="NormalTok"/>
          <w:sz w:val="16"/>
        </w:rPr>
        <w:t xml:space="preserve">,</w:t>
      </w:r>
      <w:r>
        <w:rPr>
          <w:sz w:val="16"/>
        </w:rPr>
        <w:br/>
      </w:r>
      <w:r>
        <w:rPr>
          <w:rStyle w:val="NormalTok"/>
          <w:sz w:val="16"/>
        </w:rPr>
        <w:t xml:space="preserve">  </w:t>
      </w:r>
      <w:r>
        <w:rPr>
          <w:rStyle w:val="AttributeTok"/>
          <w:sz w:val="16"/>
        </w:rPr>
        <w:t xml:space="preserve">ntop=</w:t>
      </w:r>
      <w:r>
        <w:rPr>
          <w:rStyle w:val="ConstantTok"/>
          <w:sz w:val="16"/>
        </w:rPr>
        <w:t xml:space="preserve">Inf</w:t>
      </w:r>
      <w:r>
        <w:rPr>
          <w:rStyle w:val="NormalTok"/>
          <w:sz w:val="16"/>
        </w:rPr>
        <w:t xml:space="preserve">, </w:t>
      </w:r>
      <w:r>
        <w:rPr>
          <w:rStyle w:val="AttributeTok"/>
          <w:sz w:val="16"/>
        </w:rPr>
        <w:t xml:space="preserve">subset_row=</w:t>
      </w:r>
      <w:r>
        <w:rPr>
          <w:rStyle w:val="FunctionTok"/>
          <w:sz w:val="16"/>
        </w:rPr>
        <w:t xml:space="preserve">seq_len</w:t>
      </w:r>
      <w:r>
        <w:rPr>
          <w:rStyle w:val="NormalTok"/>
          <w:sz w:val="16"/>
        </w:rPr>
        <w:t xml:space="preserve">(</w:t>
      </w:r>
      <w:r>
        <w:rPr>
          <w:rStyle w:val="FunctionTok"/>
          <w:sz w:val="16"/>
        </w:rPr>
        <w:t xml:space="preserve">nrow</w:t>
      </w:r>
      <w:r>
        <w:rPr>
          <w:rStyle w:val="NormalTok"/>
          <w:sz w:val="16"/>
        </w:rPr>
        <w:t xml:space="preserve">(sce)), </w:t>
      </w:r>
      <w:r>
        <w:rPr>
          <w:rStyle w:val="AttributeTok"/>
          <w:sz w:val="16"/>
        </w:rPr>
        <w:t xml:space="preserve">scale=</w:t>
      </w:r>
      <w:r>
        <w:rPr>
          <w:rStyle w:val="ConstantTok"/>
          <w:sz w:val="16"/>
        </w:rPr>
        <w:t xml:space="preserve">FALSE</w:t>
      </w:r>
      <w:r>
        <w:rPr>
          <w:rStyle w:val="NormalTok"/>
          <w:sz w:val="16"/>
        </w:rPr>
        <w:t xml:space="preserve">,</w:t>
      </w:r>
      <w:r>
        <w:rPr>
          <w:sz w:val="16"/>
        </w:rPr>
        <w:br/>
      </w:r>
      <w:r>
        <w:rPr>
          <w:rStyle w:val="NormalTok"/>
          <w:sz w:val="16"/>
        </w:rPr>
        <w:t xml:space="preserve">  </w:t>
      </w:r>
      <w:r>
        <w:rPr>
          <w:rStyle w:val="AttributeTok"/>
          <w:sz w:val="16"/>
        </w:rPr>
        <w:t xml:space="preserve">BSPARAM=</w:t>
      </w:r>
      <w:r>
        <w:rPr>
          <w:rStyle w:val="NormalTok"/>
          <w:sz w:val="16"/>
        </w:rPr>
        <w:t xml:space="preserve">BiocSingular</w:t>
      </w:r>
      <w:r>
        <w:rPr>
          <w:rStyle w:val="SpecialCharTok"/>
          <w:sz w:val="16"/>
        </w:rPr>
        <w:t xml:space="preserve">::</w:t>
      </w:r>
      <w:r>
        <w:rPr>
          <w:rStyle w:val="FunctionTok"/>
          <w:sz w:val="16"/>
        </w:rPr>
        <w:t xml:space="preserve">IrlbaParam</w:t>
      </w:r>
      <w:r>
        <w:rPr>
          <w:rStyle w:val="NormalTok"/>
          <w:sz w:val="16"/>
        </w:rPr>
        <w:t xml:space="preserve">(</w:t>
      </w:r>
      <w:r>
        <w:rPr>
          <w:rStyle w:val="AttributeTok"/>
          <w:sz w:val="16"/>
        </w:rPr>
        <w:t xml:space="preserve">deferred=</w:t>
      </w:r>
      <w:r>
        <w:rPr>
          <w:rStyle w:val="ConstantTok"/>
          <w:sz w:val="16"/>
        </w:rPr>
        <w:t xml:space="preserve">FALSE</w:t>
      </w:r>
      <w:r>
        <w:rPr>
          <w:rStyle w:val="NormalTok"/>
          <w:sz w:val="16"/>
        </w:rPr>
        <w:t xml:space="preserve">, </w:t>
      </w:r>
      <w:r>
        <w:rPr>
          <w:rStyle w:val="AttributeTok"/>
          <w:sz w:val="16"/>
        </w:rPr>
        <w:t xml:space="preserve">fold=</w:t>
      </w:r>
      <w:r>
        <w:rPr>
          <w:rStyle w:val="ConstantTok"/>
          <w:sz w:val="16"/>
        </w:rPr>
        <w:t xml:space="preserve">Inf</w:t>
      </w:r>
      <w:r>
        <w:rPr>
          <w:rStyle w:val="NormalTok"/>
          <w:sz w:val="16"/>
        </w:rPr>
        <w:t xml:space="preserve">,</w:t>
      </w:r>
      <w:r>
        <w:rPr>
          <w:sz w:val="16"/>
        </w:rPr>
        <w:br/>
      </w:r>
      <w:r>
        <w:rPr>
          <w:rStyle w:val="NormalTok"/>
          <w:sz w:val="16"/>
        </w:rPr>
        <w:t xml:space="preserve">    </w:t>
      </w:r>
      <w:r>
        <w:rPr>
          <w:rStyle w:val="AttributeTok"/>
          <w:sz w:val="16"/>
        </w:rPr>
        <w:t xml:space="preserve">extra.work=</w:t>
      </w:r>
      <w:r>
        <w:rPr>
          <w:rStyle w:val="DecValTok"/>
          <w:sz w:val="16"/>
        </w:rPr>
        <w:t xml:space="preserve">7</w:t>
      </w:r>
      <w:r>
        <w:rPr>
          <w:rStyle w:val="NormalTok"/>
          <w:sz w:val="16"/>
        </w:rPr>
        <w:t xml:space="preserve">, </w:t>
      </w:r>
      <w:r>
        <w:rPr>
          <w:rStyle w:val="AttributeTok"/>
          <w:sz w:val="16"/>
        </w:rPr>
        <w:t xml:space="preserve">tol=</w:t>
      </w:r>
      <w:r>
        <w:rPr>
          <w:rStyle w:val="FloatTok"/>
          <w:sz w:val="16"/>
        </w:rPr>
        <w:t xml:space="preserve">1e-5</w:t>
      </w:r>
      <w:r>
        <w:rPr>
          <w:rStyle w:val="NormalTok"/>
          <w:sz w:val="16"/>
        </w:rPr>
        <w:t xml:space="preserve">, </w:t>
      </w:r>
      <w:r>
        <w:rPr>
          <w:rStyle w:val="AttributeTok"/>
          <w:sz w:val="16"/>
        </w:rPr>
        <w:t xml:space="preserve">maxit=</w:t>
      </w:r>
      <w:r>
        <w:rPr>
          <w:rStyle w:val="DecValTok"/>
          <w:sz w:val="16"/>
        </w:rPr>
        <w:t xml:space="preserve">1000</w:t>
      </w:r>
      <w:r>
        <w:rPr>
          <w:rStyle w:val="NormalTok"/>
          <w:sz w:val="16"/>
        </w:rPr>
        <w:t xml:space="preserve">),</w:t>
      </w:r>
      <w:r>
        <w:rPr>
          <w:sz w:val="16"/>
        </w:rPr>
        <w:br/>
      </w:r>
      <w:r>
        <w:rPr>
          <w:rStyle w:val="NormalTok"/>
          <w:sz w:val="16"/>
        </w:rPr>
        <w:t xml:space="preserve">  </w:t>
      </w:r>
      <w:r>
        <w:rPr>
          <w:rStyle w:val="AttributeTok"/>
          <w:sz w:val="16"/>
        </w:rPr>
        <w:t xml:space="preserve">BPPARAM=</w:t>
      </w:r>
      <w:r>
        <w:rPr>
          <w:rStyle w:val="NormalTok"/>
          <w:sz w:val="16"/>
        </w:rPr>
        <w:t xml:space="preserve">BiocParallel</w:t>
      </w:r>
      <w:r>
        <w:rPr>
          <w:rStyle w:val="SpecialCharTok"/>
          <w:sz w:val="16"/>
        </w:rPr>
        <w:t xml:space="preserve">::</w:t>
      </w:r>
      <w:r>
        <w:rPr>
          <w:rStyle w:val="FunctionTok"/>
          <w:sz w:val="16"/>
        </w:rPr>
        <w:t xml:space="preserve">SerialParam</w:t>
      </w:r>
      <w:r>
        <w:rPr>
          <w:rStyle w:val="NormalTok"/>
          <w:sz w:val="16"/>
        </w:rPr>
        <w:t xml:space="preserve">())</w:t>
      </w:r>
      <w:r>
        <w:rPr>
          <w:sz w:val="16"/>
        </w:rPr>
        <w:br/>
      </w:r>
      <w:r>
        <w:rPr>
          <w:sz w:val="16"/>
        </w:rPr>
        <w:br/>
      </w:r>
      <w:r>
        <w:rPr>
          <w:rStyle w:val="CommentTok"/>
          <w:sz w:val="16"/>
        </w:rPr>
        <w:t xml:space="preserve"># PCA结果按细胞×维度输入rank-SNN，然后用边权执行Louvain</w:t>
      </w:r>
      <w:r>
        <w:rPr>
          <w:sz w:val="16"/>
        </w:rPr>
        <w:br/>
      </w:r>
      <w:r>
        <w:rPr>
          <w:rStyle w:val="NormalTok"/>
          <w:sz w:val="16"/>
        </w:rPr>
        <w:t xml:space="preserve">graph </w:t>
      </w:r>
      <w:r>
        <w:rPr>
          <w:rStyle w:val="OtherTok"/>
          <w:sz w:val="16"/>
        </w:rPr>
        <w:t xml:space="preserve">&lt;-</w:t>
      </w:r>
      <w:r>
        <w:rPr>
          <w:rStyle w:val="NormalTok"/>
          <w:sz w:val="16"/>
        </w:rPr>
        <w:t xml:space="preserve"> scran</w:t>
      </w:r>
      <w:r>
        <w:rPr>
          <w:rStyle w:val="SpecialCharTok"/>
          <w:sz w:val="16"/>
        </w:rPr>
        <w:t xml:space="preserve">::</w:t>
      </w:r>
      <w:r>
        <w:rPr>
          <w:rStyle w:val="FunctionTok"/>
          <w:sz w:val="16"/>
        </w:rPr>
        <w:t xml:space="preserve">buildSNNGraph</w:t>
      </w:r>
      <w:r>
        <w:rPr>
          <w:rStyle w:val="NormalTok"/>
          <w:sz w:val="16"/>
        </w:rPr>
        <w:t xml:space="preserve">(pca, </w:t>
      </w:r>
      <w:r>
        <w:rPr>
          <w:rStyle w:val="AttributeTok"/>
          <w:sz w:val="16"/>
        </w:rPr>
        <w:t xml:space="preserve">d=</w:t>
      </w:r>
      <w:r>
        <w:rPr>
          <w:rStyle w:val="ConstantTok"/>
          <w:sz w:val="16"/>
        </w:rPr>
        <w:t xml:space="preserve">NA</w:t>
      </w:r>
      <w:r>
        <w:rPr>
          <w:rStyle w:val="NormalTok"/>
          <w:sz w:val="16"/>
        </w:rPr>
        <w:t xml:space="preserve">, </w:t>
      </w:r>
      <w:r>
        <w:rPr>
          <w:rStyle w:val="AttributeTok"/>
          <w:sz w:val="16"/>
        </w:rPr>
        <w:t xml:space="preserve">transposed=</w:t>
      </w:r>
      <w:r>
        <w:rPr>
          <w:rStyle w:val="ConstantTok"/>
          <w:sz w:val="16"/>
        </w:rPr>
        <w:t xml:space="preserve">TRUE</w:t>
      </w:r>
      <w:r>
        <w:rPr>
          <w:rStyle w:val="NormalTok"/>
          <w:sz w:val="16"/>
        </w:rPr>
        <w:t xml:space="preserve">,</w:t>
      </w:r>
      <w:r>
        <w:rPr>
          <w:sz w:val="16"/>
        </w:rPr>
        <w:br/>
      </w:r>
      <w:r>
        <w:rPr>
          <w:rStyle w:val="NormalTok"/>
          <w:sz w:val="16"/>
        </w:rPr>
        <w:t xml:space="preserve">  </w:t>
      </w:r>
      <w:r>
        <w:rPr>
          <w:rStyle w:val="AttributeTok"/>
          <w:sz w:val="16"/>
        </w:rPr>
        <w:t xml:space="preserve">k=</w:t>
      </w:r>
      <w:r>
        <w:rPr>
          <w:rStyle w:val="DecValTok"/>
          <w:sz w:val="16"/>
        </w:rPr>
        <w:t xml:space="preserve">15</w:t>
      </w:r>
      <w:r>
        <w:rPr>
          <w:rStyle w:val="NormalTok"/>
          <w:sz w:val="16"/>
        </w:rPr>
        <w:t xml:space="preserve">, </w:t>
      </w:r>
      <w:r>
        <w:rPr>
          <w:rStyle w:val="AttributeTok"/>
          <w:sz w:val="16"/>
        </w:rPr>
        <w:t xml:space="preserve">type=</w:t>
      </w:r>
      <w:r>
        <w:rPr>
          <w:rStyle w:val="StringTok"/>
          <w:sz w:val="16"/>
        </w:rPr>
        <w:t xml:space="preserve">"rank"</w:t>
      </w:r>
      <w:r>
        <w:rPr>
          <w:rStyle w:val="NormalTok"/>
          <w:sz w:val="16"/>
        </w:rPr>
        <w:t xml:space="preserve">, </w:t>
      </w:r>
      <w:r>
        <w:rPr>
          <w:rStyle w:val="AttributeTok"/>
          <w:sz w:val="16"/>
        </w:rPr>
        <w:t xml:space="preserve">BNPARAM=</w:t>
      </w:r>
      <w:r>
        <w:rPr>
          <w:rStyle w:val="NormalTok"/>
          <w:sz w:val="16"/>
        </w:rPr>
        <w:t xml:space="preserve">BiocNeighbors</w:t>
      </w:r>
      <w:r>
        <w:rPr>
          <w:rStyle w:val="SpecialCharTok"/>
          <w:sz w:val="16"/>
        </w:rPr>
        <w:t xml:space="preserve">::</w:t>
      </w:r>
      <w:r>
        <w:rPr>
          <w:rStyle w:val="FunctionTok"/>
          <w:sz w:val="16"/>
        </w:rPr>
        <w:t xml:space="preserve">KmknnParam</w:t>
      </w:r>
      <w:r>
        <w:rPr>
          <w:rStyle w:val="NormalTok"/>
          <w:sz w:val="16"/>
        </w:rPr>
        <w:t xml:space="preserve">(),</w:t>
      </w:r>
      <w:r>
        <w:rPr>
          <w:sz w:val="16"/>
        </w:rPr>
        <w:br/>
      </w:r>
      <w:r>
        <w:rPr>
          <w:rStyle w:val="NormalTok"/>
          <w:sz w:val="16"/>
        </w:rPr>
        <w:t xml:space="preserve">  </w:t>
      </w:r>
      <w:r>
        <w:rPr>
          <w:rStyle w:val="AttributeTok"/>
          <w:sz w:val="16"/>
        </w:rPr>
        <w:t xml:space="preserve">BPPARAM=</w:t>
      </w:r>
      <w:r>
        <w:rPr>
          <w:rStyle w:val="NormalTok"/>
          <w:sz w:val="16"/>
        </w:rPr>
        <w:t xml:space="preserve">BiocParallel</w:t>
      </w:r>
      <w:r>
        <w:rPr>
          <w:rStyle w:val="SpecialCharTok"/>
          <w:sz w:val="16"/>
        </w:rPr>
        <w:t xml:space="preserve">::</w:t>
      </w:r>
      <w:r>
        <w:rPr>
          <w:rStyle w:val="FunctionTok"/>
          <w:sz w:val="16"/>
        </w:rPr>
        <w:t xml:space="preserve">SerialParam</w:t>
      </w:r>
      <w:r>
        <w:rPr>
          <w:rStyle w:val="NormalTok"/>
          <w:sz w:val="16"/>
        </w:rPr>
        <w:t xml:space="preserve">())</w:t>
      </w:r>
      <w:r>
        <w:rPr>
          <w:sz w:val="16"/>
        </w:rPr>
        <w:br/>
      </w:r>
      <w:r>
        <w:rPr>
          <w:rStyle w:val="NormalTok"/>
          <w:sz w:val="16"/>
        </w:rPr>
        <w:t xml:space="preserve">community </w:t>
      </w:r>
      <w:r>
        <w:rPr>
          <w:rStyle w:val="OtherTok"/>
          <w:sz w:val="16"/>
        </w:rPr>
        <w:t xml:space="preserve">&lt;-</w:t>
      </w:r>
      <w:r>
        <w:rPr>
          <w:rStyle w:val="NormalTok"/>
          <w:sz w:val="16"/>
        </w:rPr>
        <w:t xml:space="preserve"> igraph</w:t>
      </w:r>
      <w:r>
        <w:rPr>
          <w:rStyle w:val="SpecialCharTok"/>
          <w:sz w:val="16"/>
        </w:rPr>
        <w:t xml:space="preserve">::</w:t>
      </w:r>
      <w:r>
        <w:rPr>
          <w:rStyle w:val="FunctionTok"/>
          <w:sz w:val="16"/>
        </w:rPr>
        <w:t xml:space="preserve">cluster_louvain</w:t>
      </w:r>
      <w:r>
        <w:rPr>
          <w:rStyle w:val="NormalTok"/>
          <w:sz w:val="16"/>
        </w:rPr>
        <w:t xml:space="preserve">(graph,</w:t>
      </w:r>
      <w:r>
        <w:rPr>
          <w:sz w:val="16"/>
        </w:rPr>
        <w:br/>
      </w:r>
      <w:r>
        <w:rPr>
          <w:rStyle w:val="NormalTok"/>
          <w:sz w:val="16"/>
        </w:rPr>
        <w:t xml:space="preserve">  </w:t>
      </w:r>
      <w:r>
        <w:rPr>
          <w:rStyle w:val="AttributeTok"/>
          <w:sz w:val="16"/>
        </w:rPr>
        <w:t xml:space="preserve">weights=</w:t>
      </w:r>
      <w:r>
        <w:rPr>
          <w:rStyle w:val="NormalTok"/>
          <w:sz w:val="16"/>
        </w:rPr>
        <w:t xml:space="preserve">igraph</w:t>
      </w:r>
      <w:r>
        <w:rPr>
          <w:rStyle w:val="SpecialCharTok"/>
          <w:sz w:val="16"/>
        </w:rPr>
        <w:t xml:space="preserve">::</w:t>
      </w:r>
      <w:r>
        <w:rPr>
          <w:rStyle w:val="FunctionTok"/>
          <w:sz w:val="16"/>
        </w:rPr>
        <w:t xml:space="preserve">E</w:t>
      </w:r>
      <w:r>
        <w:rPr>
          <w:rStyle w:val="NormalTok"/>
          <w:sz w:val="16"/>
        </w:rPr>
        <w:t xml:space="preserve">(graph)</w:t>
      </w:r>
      <w:r>
        <w:rPr>
          <w:rStyle w:val="SpecialCharTok"/>
          <w:sz w:val="16"/>
        </w:rPr>
        <w:t xml:space="preserve">$</w:t>
      </w:r>
      <w:r>
        <w:rPr>
          <w:rStyle w:val="NormalTok"/>
          <w:sz w:val="16"/>
        </w:rPr>
        <w:t xml:space="preserve">weight, </w:t>
      </w:r>
      <w:r>
        <w:rPr>
          <w:rStyle w:val="AttributeTok"/>
          <w:sz w:val="16"/>
        </w:rPr>
        <w:t xml:space="preserve">resolution=</w:t>
      </w:r>
      <w:r>
        <w:rPr>
          <w:rStyle w:val="DecValTok"/>
          <w:sz w:val="16"/>
        </w:rPr>
        <w:t xml:space="preserve">1</w:t>
      </w:r>
      <w:r>
        <w:rPr>
          <w:rStyle w:val="NormalTok"/>
          <w:sz w:val="16"/>
        </w:rPr>
        <w:t xml:space="preserve">)</w:t>
      </w:r>
    </w:p>
    <w:p>
      <w:pPr>
        <w:pStyle w:val="FirstParagraph"/>
      </w:pPr>
      <w:r>
        <w:t xml:space="preserve">本段将配置值展开便于阅读，完整调用顺序和变量连接保存在附录B所列的固定原脚本。</w:t>
      </w:r>
      <w:r>
        <w:rPr>
          <w:rStyle w:val="VerbatimChar"/>
        </w:rPr>
        <w:t xml:space="preserve">ntop=Inf</w:t>
      </w:r>
      <w:r>
        <w:t xml:space="preserve">使PCA使用共同准备的6000个特征；</w:t>
      </w:r>
      <w:r>
        <w:rPr>
          <w:rStyle w:val="VerbatimChar"/>
        </w:rPr>
        <w:t xml:space="preserve">d=NA</w:t>
      </w:r>
      <w:r>
        <w:t xml:space="preserve">表示直接使用输入的PCA表示；</w:t>
      </w:r>
      <w:r>
        <w:rPr>
          <w:rStyle w:val="VerbatimChar"/>
        </w:rPr>
        <w:t xml:space="preserve">transposed=TRUE</w:t>
      </w:r>
      <w:r>
        <w:t xml:space="preserve">对应细胞位于矩阵行的方向。</w:t>
      </w:r>
    </w:p>
    <w:bookmarkEnd w:id="47"/>
    <w:bookmarkEnd w:id="48"/>
    <w:bookmarkStart w:id="84" w:name="lm实验结果与分析"/>
    <w:p>
      <w:pPr>
        <w:pStyle w:val="Heading1"/>
      </w:pPr>
      <w:r>
        <w:t xml:space="preserve">6 LM实验结果与分析</w:t>
      </w:r>
    </w:p>
    <w:bookmarkStart w:id="49" w:name="总体结果及作者公开输出对照"/>
    <w:p>
      <w:pPr>
        <w:pStyle w:val="Heading2"/>
      </w:pPr>
      <w:r>
        <w:t xml:space="preserve">6.1 总体结果及作者公开输出对照</w:t>
      </w:r>
    </w:p>
    <w:p>
      <w:pPr>
        <w:pStyle w:val="FirstParagraph"/>
      </w:pPr>
      <w:r>
        <w:t xml:space="preserve">LM得到7簇、1200个已分配基因。相对8类原参考，ARI为0.66951870448635153，NMImax为0.74188542311548167。各簇规模和自动名称如表1，与作者固定HTML公开打印的逐簇汇总一致。</w:t>
      </w:r>
    </w:p>
    <w:p>
      <w:pPr>
        <w:pStyle w:val="BodyText"/>
      </w:pPr>
      <w:r>
        <w:rPr>
          <w:b/>
          <w:bCs/>
        </w:rPr>
        <w:t xml:space="preserve">表1　LM逐簇结果（细胞数与基因数均与作者公开汇总一致）</w:t>
      </w:r>
    </w:p>
    <w:tbl>
      <w:tblPr>
        <w:tblStyle w:val="Table"/>
        <w:tblW w:type="auto" w:w="0"/>
        <w:jc w:val="left"/>
        <w:tblLayout w:type="fixed"/>
        <w:tblLook w:firstRow="1" w:lastRow="0" w:firstColumn="0" w:lastColumn="0" w:noHBand="0" w:noVBand="0" w:val="0020"/>
      </w:tblPr>
      <w:tblGrid>
        <w:gridCol w:w="3024"/>
        <w:gridCol w:w="3024"/>
        <w:gridCol w:w="3024"/>
      </w:tblGrid>
      <w:tr>
        <w:trPr>
          <w:tblHeader w:val="on"/>
          <w:cantSplit/>
          <w:tblHeader/>
        </w:trPr>
        <w:tc>
          <w:tcPr/>
          <w:p>
            <w:pPr>
              <w:pStyle w:val="Compact"/>
              <w:spacing w:after="40" w:line="264" w:lineRule="auto"/>
              <w:jc w:val="left"/>
            </w:pPr>
            <w:r>
              <w:rPr>
                <w:sz w:val="17"/>
              </w:rPr>
              <w:t xml:space="preserve">自动预测名称</w:t>
            </w:r>
          </w:p>
        </w:tc>
        <w:tc>
          <w:tcPr/>
          <w:p>
            <w:pPr>
              <w:pStyle w:val="Compact"/>
              <w:spacing w:after="40" w:line="264" w:lineRule="auto"/>
              <w:jc w:val="right"/>
            </w:pPr>
            <w:r>
              <w:rPr>
                <w:sz w:val="17"/>
              </w:rPr>
              <w:t xml:space="preserve">细胞数</w:t>
            </w:r>
          </w:p>
        </w:tc>
        <w:tc>
          <w:tcPr/>
          <w:p>
            <w:pPr>
              <w:pStyle w:val="Compact"/>
              <w:spacing w:after="40" w:line="264" w:lineRule="auto"/>
              <w:jc w:val="right"/>
            </w:pPr>
            <w:r>
              <w:rPr>
                <w:sz w:val="17"/>
              </w:rPr>
              <w:t xml:space="preserve">已分配基因数</w:t>
            </w:r>
          </w:p>
        </w:tc>
      </w:tr>
      <w:tr>
        <w:trPr>
          <w:cantSplit/>
        </w:trPr>
        <w:tc>
          <w:tcPr/>
          <w:p>
            <w:pPr>
              <w:pStyle w:val="Compact"/>
              <w:spacing w:after="40" w:line="264" w:lineRule="auto"/>
              <w:jc w:val="left"/>
            </w:pPr>
            <w:r>
              <w:rPr>
                <w:sz w:val="17"/>
              </w:rPr>
              <w:t xml:space="preserve">cluster_1</w:t>
            </w:r>
          </w:p>
        </w:tc>
        <w:tc>
          <w:tcPr/>
          <w:p>
            <w:pPr>
              <w:pStyle w:val="Compact"/>
              <w:spacing w:after="40" w:line="264" w:lineRule="auto"/>
              <w:jc w:val="right"/>
            </w:pPr>
            <w:r>
              <w:rPr>
                <w:sz w:val="17"/>
              </w:rPr>
              <w:t xml:space="preserve">940</w:t>
            </w:r>
          </w:p>
        </w:tc>
        <w:tc>
          <w:tcPr/>
          <w:p>
            <w:pPr>
              <w:pStyle w:val="Compact"/>
              <w:spacing w:after="40" w:line="264" w:lineRule="auto"/>
              <w:jc w:val="right"/>
            </w:pPr>
            <w:r>
              <w:rPr>
                <w:sz w:val="17"/>
              </w:rPr>
              <w:t xml:space="preserve">45</w:t>
            </w:r>
          </w:p>
        </w:tc>
      </w:tr>
      <w:tr>
        <w:trPr>
          <w:cantSplit/>
        </w:trPr>
        <w:tc>
          <w:tcPr/>
          <w:p>
            <w:pPr>
              <w:pStyle w:val="Compact"/>
              <w:spacing w:after="40" w:line="264" w:lineRule="auto"/>
              <w:jc w:val="left"/>
            </w:pPr>
            <w:r>
              <w:rPr>
                <w:sz w:val="17"/>
              </w:rPr>
              <w:t xml:space="preserve">Vascular_endothelial_cell</w:t>
            </w:r>
          </w:p>
        </w:tc>
        <w:tc>
          <w:tcPr/>
          <w:p>
            <w:pPr>
              <w:pStyle w:val="Compact"/>
              <w:spacing w:after="40" w:line="264" w:lineRule="auto"/>
              <w:jc w:val="right"/>
            </w:pPr>
            <w:r>
              <w:rPr>
                <w:sz w:val="17"/>
              </w:rPr>
              <w:t xml:space="preserve">28</w:t>
            </w:r>
          </w:p>
        </w:tc>
        <w:tc>
          <w:tcPr/>
          <w:p>
            <w:pPr>
              <w:pStyle w:val="Compact"/>
              <w:spacing w:after="40" w:line="264" w:lineRule="auto"/>
              <w:jc w:val="right"/>
            </w:pPr>
            <w:r>
              <w:rPr>
                <w:sz w:val="17"/>
              </w:rPr>
              <w:t xml:space="preserve">184</w:t>
            </w:r>
          </w:p>
        </w:tc>
      </w:tr>
      <w:tr>
        <w:trPr>
          <w:cantSplit/>
        </w:trPr>
        <w:tc>
          <w:tcPr/>
          <w:p>
            <w:pPr>
              <w:pStyle w:val="Compact"/>
              <w:spacing w:after="40" w:line="264" w:lineRule="auto"/>
              <w:jc w:val="left"/>
            </w:pPr>
            <w:r>
              <w:rPr>
                <w:sz w:val="17"/>
              </w:rPr>
              <w:t xml:space="preserve">B_cell</w:t>
            </w:r>
          </w:p>
        </w:tc>
        <w:tc>
          <w:tcPr/>
          <w:p>
            <w:pPr>
              <w:pStyle w:val="Compact"/>
              <w:spacing w:after="40" w:line="264" w:lineRule="auto"/>
              <w:jc w:val="right"/>
            </w:pPr>
            <w:r>
              <w:rPr>
                <w:sz w:val="17"/>
              </w:rPr>
              <w:t xml:space="preserve">113</w:t>
            </w:r>
          </w:p>
        </w:tc>
        <w:tc>
          <w:tcPr/>
          <w:p>
            <w:pPr>
              <w:pStyle w:val="Compact"/>
              <w:spacing w:after="40" w:line="264" w:lineRule="auto"/>
              <w:jc w:val="right"/>
            </w:pPr>
            <w:r>
              <w:rPr>
                <w:sz w:val="17"/>
              </w:rPr>
              <w:t xml:space="preserve">200</w:t>
            </w:r>
          </w:p>
        </w:tc>
      </w:tr>
      <w:tr>
        <w:trPr>
          <w:cantSplit/>
        </w:trPr>
        <w:tc>
          <w:tcPr/>
          <w:p>
            <w:pPr>
              <w:pStyle w:val="Compact"/>
              <w:spacing w:after="40" w:line="264" w:lineRule="auto"/>
              <w:jc w:val="left"/>
            </w:pPr>
            <w:r>
              <w:rPr>
                <w:sz w:val="17"/>
              </w:rPr>
              <w:t xml:space="preserve">T_cell</w:t>
            </w:r>
          </w:p>
        </w:tc>
        <w:tc>
          <w:tcPr/>
          <w:p>
            <w:pPr>
              <w:pStyle w:val="Compact"/>
              <w:spacing w:after="40" w:line="264" w:lineRule="auto"/>
              <w:jc w:val="right"/>
            </w:pPr>
            <w:r>
              <w:rPr>
                <w:sz w:val="17"/>
              </w:rPr>
              <w:t xml:space="preserve">48</w:t>
            </w:r>
          </w:p>
        </w:tc>
        <w:tc>
          <w:tcPr/>
          <w:p>
            <w:pPr>
              <w:pStyle w:val="Compact"/>
              <w:spacing w:after="40" w:line="264" w:lineRule="auto"/>
              <w:jc w:val="right"/>
            </w:pPr>
            <w:r>
              <w:rPr>
                <w:sz w:val="17"/>
              </w:rPr>
              <w:t xml:space="preserve">192</w:t>
            </w:r>
          </w:p>
        </w:tc>
      </w:tr>
      <w:tr>
        <w:trPr>
          <w:cantSplit/>
        </w:trPr>
        <w:tc>
          <w:tcPr/>
          <w:p>
            <w:pPr>
              <w:pStyle w:val="Compact"/>
              <w:spacing w:after="40" w:line="264" w:lineRule="auto"/>
              <w:jc w:val="left"/>
            </w:pPr>
            <w:r>
              <w:rPr>
                <w:sz w:val="17"/>
              </w:rPr>
              <w:t xml:space="preserve">Macrophage</w:t>
            </w:r>
          </w:p>
        </w:tc>
        <w:tc>
          <w:tcPr/>
          <w:p>
            <w:pPr>
              <w:pStyle w:val="Compact"/>
              <w:spacing w:after="40" w:line="264" w:lineRule="auto"/>
              <w:jc w:val="right"/>
            </w:pPr>
            <w:r>
              <w:rPr>
                <w:sz w:val="17"/>
              </w:rPr>
              <w:t xml:space="preserve">76</w:t>
            </w:r>
          </w:p>
        </w:tc>
        <w:tc>
          <w:tcPr/>
          <w:p>
            <w:pPr>
              <w:pStyle w:val="Compact"/>
              <w:spacing w:after="40" w:line="264" w:lineRule="auto"/>
              <w:jc w:val="right"/>
            </w:pPr>
            <w:r>
              <w:rPr>
                <w:sz w:val="17"/>
              </w:rPr>
              <w:t xml:space="preserve">203</w:t>
            </w:r>
          </w:p>
        </w:tc>
      </w:tr>
      <w:tr>
        <w:trPr>
          <w:cantSplit/>
        </w:trPr>
        <w:tc>
          <w:tcPr/>
          <w:p>
            <w:pPr>
              <w:pStyle w:val="Compact"/>
              <w:spacing w:after="40" w:line="264" w:lineRule="auto"/>
              <w:jc w:val="left"/>
            </w:pPr>
            <w:r>
              <w:rPr>
                <w:sz w:val="17"/>
              </w:rPr>
              <w:t xml:space="preserve">Schwalie_et_al.Nature.P1</w:t>
            </w:r>
          </w:p>
        </w:tc>
        <w:tc>
          <w:tcPr/>
          <w:p>
            <w:pPr>
              <w:pStyle w:val="Compact"/>
              <w:spacing w:after="40" w:line="264" w:lineRule="auto"/>
              <w:jc w:val="right"/>
            </w:pPr>
            <w:r>
              <w:rPr>
                <w:sz w:val="17"/>
              </w:rPr>
              <w:t xml:space="preserve">490</w:t>
            </w:r>
          </w:p>
        </w:tc>
        <w:tc>
          <w:tcPr/>
          <w:p>
            <w:pPr>
              <w:pStyle w:val="Compact"/>
              <w:spacing w:after="40" w:line="264" w:lineRule="auto"/>
              <w:jc w:val="right"/>
            </w:pPr>
            <w:r>
              <w:rPr>
                <w:sz w:val="17"/>
              </w:rPr>
              <w:t xml:space="preserve">106</w:t>
            </w:r>
          </w:p>
        </w:tc>
      </w:tr>
      <w:tr>
        <w:trPr>
          <w:cantSplit/>
        </w:trPr>
        <w:tc>
          <w:tcPr/>
          <w:p>
            <w:pPr>
              <w:pStyle w:val="Compact"/>
              <w:spacing w:after="40" w:line="264" w:lineRule="auto"/>
              <w:jc w:val="left"/>
            </w:pPr>
            <w:r>
              <w:rPr>
                <w:sz w:val="17"/>
              </w:rPr>
              <w:t xml:space="preserve">Endothelial_cell</w:t>
            </w:r>
          </w:p>
        </w:tc>
        <w:tc>
          <w:tcPr/>
          <w:p>
            <w:pPr>
              <w:pStyle w:val="Compact"/>
              <w:spacing w:after="40" w:line="264" w:lineRule="auto"/>
              <w:jc w:val="right"/>
            </w:pPr>
            <w:r>
              <w:rPr>
                <w:sz w:val="17"/>
              </w:rPr>
              <w:t xml:space="preserve">187</w:t>
            </w:r>
          </w:p>
        </w:tc>
        <w:tc>
          <w:tcPr/>
          <w:p>
            <w:pPr>
              <w:pStyle w:val="Compact"/>
              <w:spacing w:after="40" w:line="264" w:lineRule="auto"/>
              <w:jc w:val="right"/>
            </w:pPr>
            <w:r>
              <w:rPr>
                <w:sz w:val="17"/>
              </w:rPr>
              <w:t xml:space="preserve">270</w:t>
            </w:r>
          </w:p>
        </w:tc>
      </w:tr>
      <w:tr>
        <w:trPr>
          <w:cantSplit/>
        </w:trPr>
        <w:tc>
          <w:tcPr/>
          <w:p>
            <w:pPr>
              <w:pStyle w:val="Compact"/>
              <w:spacing w:after="40" w:line="264" w:lineRule="auto"/>
              <w:jc w:val="left"/>
            </w:pPr>
            <w:r>
              <w:rPr>
                <w:sz w:val="17"/>
              </w:rPr>
              <w:t xml:space="preserve">合计</w:t>
            </w:r>
          </w:p>
        </w:tc>
        <w:tc>
          <w:tcPr/>
          <w:p>
            <w:pPr>
              <w:pStyle w:val="Compact"/>
              <w:spacing w:after="40" w:line="264" w:lineRule="auto"/>
              <w:jc w:val="right"/>
            </w:pPr>
            <w:r>
              <w:rPr>
                <w:sz w:val="17"/>
              </w:rPr>
              <w:t xml:space="preserve">1882</w:t>
            </w:r>
          </w:p>
        </w:tc>
        <w:tc>
          <w:tcPr/>
          <w:p>
            <w:pPr>
              <w:pStyle w:val="Compact"/>
              <w:spacing w:after="40" w:line="264" w:lineRule="auto"/>
              <w:jc w:val="right"/>
            </w:pPr>
            <w:r>
              <w:rPr>
                <w:sz w:val="17"/>
              </w:rPr>
              <w:t xml:space="preserve">1200</w:t>
            </w:r>
          </w:p>
        </w:tc>
      </w:tr>
    </w:tbl>
    <w:p>
      <w:pPr>
        <w:pStyle w:val="BodyText"/>
      </w:pPr>
      <w:r>
        <w:t xml:space="preserve">作者HTML显示ARI为0.6695187，本次结果按相同显示精度一致。可见运行日志中，第一轮出现两次合并，随后第二轮发生拆分并进入第三轮，记录与本次对应。作者仓库的</w:t>
      </w:r>
      <w:r>
        <w:rPr>
          <w:rStyle w:val="VerbatimChar"/>
        </w:rPr>
        <w:t xml:space="preserve">results/figure2.qmd/html</w:t>
      </w:r>
      <w:r>
        <w:t xml:space="preserve">对应正式论文Fig3。表1与本文ARI共同构成公开结果对照依据。</w:t>
      </w:r>
    </w:p>
    <w:bookmarkEnd w:id="49"/>
    <w:bookmarkStart w:id="53" w:name="fig3a细胞与基因联合显示"/>
    <w:p>
      <w:pPr>
        <w:pStyle w:val="Heading2"/>
      </w:pPr>
      <w:r>
        <w:t xml:space="preserve">6.2 Fig3A：细胞与基因联合显示</w:t>
      </w:r>
    </w:p>
    <w:p>
      <w:pPr>
        <w:pStyle w:val="FirstParagraph"/>
      </w:pPr>
      <w:r>
        <w:t xml:space="preserve">如图1所示，七个关联图分别展示一个方向，簇内细胞为黄绿色、关联基因为橙色，其他细胞和基因为深绿色及灰色。每簇标出真实排名前五的基因。T细胞方向呈现沿横轴集中的结构；其他簇的纵向离散程度和背景点重叠展示了不同的分离状况。</w:t>
      </w:r>
    </w:p>
    <w:p>
      <w:pPr>
        <w:pStyle w:val="CaptionedFigure"/>
        <w:keepNext/>
        <w:keepLines/>
        <w:jc w:val="center"/>
      </w:pPr>
      <w:r>
        <w:drawing>
          <wp:inline>
            <wp:extent cx="5465445" cy="4007992"/>
            <wp:effectExtent b="0" l="0" r="0" t="0"/>
            <wp:docPr descr="图1　LM七簇关联图与真实top5基因（对应原论文Fig3A）。" title="" id="51" name="Picture"/>
            <a:graphic>
              <a:graphicData uri="http://schemas.openxmlformats.org/drawingml/2006/picture">
                <pic:pic>
                  <pic:nvPicPr>
                    <pic:cNvPr descr="assets/Fig3A_association_top5.png" id="52" name="Picture"/>
                    <pic:cNvPicPr>
                      <a:picLocks noChangeArrowheads="1" noChangeAspect="1"/>
                    </pic:cNvPicPr>
                  </pic:nvPicPr>
                  <pic:blipFill>
                    <a:blip r:embed="rId50"/>
                    <a:stretch>
                      <a:fillRect/>
                    </a:stretch>
                  </pic:blipFill>
                  <pic:spPr bwMode="auto">
                    <a:xfrm>
                      <a:off x="0" y="0"/>
                      <a:ext cx="5465445" cy="4007992"/>
                    </a:xfrm>
                    <a:prstGeom prst="rect">
                      <a:avLst/>
                    </a:prstGeom>
                    <a:noFill/>
                    <a:ln w="9525">
                      <a:noFill/>
                      <a:headEnd/>
                      <a:tailEnd/>
                    </a:ln>
                  </pic:spPr>
                </pic:pic>
              </a:graphicData>
            </a:graphic>
          </wp:inline>
        </w:drawing>
      </w:r>
    </w:p>
    <w:p>
      <w:pPr>
        <w:pStyle w:val="ImageCaption"/>
      </w:pPr>
      <w:r>
        <w:t xml:space="preserve">图1　LM七簇关联图与真实top5基因（对应原论文Fig3A）。</w:t>
      </w:r>
    </w:p>
    <w:p>
      <w:pPr>
        <w:pStyle w:val="BodyText"/>
      </w:pPr>
      <w:r>
        <w:t xml:space="preserve">基因得分将投影强度和偏离距离结合。</w:t>
      </w:r>
      <w:r>
        <w:rPr>
          <w:rStyle w:val="VerbatimChar"/>
        </w:rPr>
        <w:t xml:space="preserve">cluster_1</w:t>
      </w:r>
      <w:r>
        <w:t xml:space="preserve">前五名为Cadm2、Syt12、Ntn5、Pax3、Gdnf，其得分依次为−0.230963、−0.258898、−0.288689、−0.347069、−0.382294。这组负分数说明：在该簇的当前alpha下，正交距离惩罚大于投影收益；图中top5表示簇内排序最高的五个基因。完整分数表支持逐个基因解释。</w:t>
      </w:r>
    </w:p>
    <w:bookmarkEnd w:id="53"/>
    <w:bookmarkStart w:id="60" w:name="fig3bc免疫与内皮方向"/>
    <w:p>
      <w:pPr>
        <w:pStyle w:val="Heading2"/>
      </w:pPr>
      <w:r>
        <w:t xml:space="preserve">6.3 Fig3B/C：免疫与内皮方向</w:t>
      </w:r>
    </w:p>
    <w:p>
      <w:pPr>
        <w:pStyle w:val="FirstParagraph"/>
      </w:pPr>
      <w:r>
        <w:t xml:space="preserve">图2展示B细胞预测簇及T细胞、巨噬细胞方向，图3展示两个内皮预测方向。B与T方向夹角为63.9984377°，B与巨噬细胞为72.6956194°；两个内皮方向夹角为66.1100659°。等比例坐标轴便于观察投影几何。</w:t>
      </w:r>
    </w:p>
    <w:p>
      <w:pPr>
        <w:pStyle w:val="CaptionedFigure"/>
        <w:keepNext/>
        <w:keepLines/>
        <w:jc w:val="center"/>
      </w:pPr>
      <w:r>
        <w:drawing>
          <wp:inline>
            <wp:extent cx="4890135" cy="3423094"/>
            <wp:effectExtent b="0" l="0" r="0" t="0"/>
            <wp:docPr descr="图2　B细胞簇及T细胞、巨噬细胞的主坐标方向比较（对应Fig3B）。" title="" id="55" name="Picture"/>
            <a:graphic>
              <a:graphicData uri="http://schemas.openxmlformats.org/drawingml/2006/picture">
                <pic:pic>
                  <pic:nvPicPr>
                    <pic:cNvPr descr="assets/Fig3B_Bcell_principal.png" id="56" name="Picture"/>
                    <pic:cNvPicPr>
                      <a:picLocks noChangeArrowheads="1" noChangeAspect="1"/>
                    </pic:cNvPicPr>
                  </pic:nvPicPr>
                  <pic:blipFill>
                    <a:blip r:embed="rId54"/>
                    <a:stretch>
                      <a:fillRect/>
                    </a:stretch>
                  </pic:blipFill>
                  <pic:spPr bwMode="auto">
                    <a:xfrm>
                      <a:off x="0" y="0"/>
                      <a:ext cx="4890135" cy="3423094"/>
                    </a:xfrm>
                    <a:prstGeom prst="rect">
                      <a:avLst/>
                    </a:prstGeom>
                    <a:noFill/>
                    <a:ln w="9525">
                      <a:noFill/>
                      <a:headEnd/>
                      <a:tailEnd/>
                    </a:ln>
                  </pic:spPr>
                </pic:pic>
              </a:graphicData>
            </a:graphic>
          </wp:inline>
        </w:drawing>
      </w:r>
    </w:p>
    <w:p>
      <w:pPr>
        <w:pStyle w:val="ImageCaption"/>
      </w:pPr>
      <w:r>
        <w:t xml:space="preserve">图2　B细胞簇及T细胞、巨噬细胞的主坐标方向比较（对应Fig3B）。</w:t>
      </w:r>
    </w:p>
    <w:p>
      <w:pPr>
        <w:pStyle w:val="CaptionedFigure"/>
        <w:keepNext/>
        <w:keepLines/>
        <w:jc w:val="center"/>
      </w:pPr>
      <w:r>
        <w:drawing>
          <wp:inline>
            <wp:extent cx="4890135" cy="3423094"/>
            <wp:effectExtent b="0" l="0" r="0" t="0"/>
            <wp:docPr descr="图3　两个内皮预测方向的主坐标比较（对应Fig3C）。" title="" id="58" name="Picture"/>
            <a:graphic>
              <a:graphicData uri="http://schemas.openxmlformats.org/drawingml/2006/picture">
                <pic:pic>
                  <pic:nvPicPr>
                    <pic:cNvPr descr="assets/Fig3C_endothelial_principal.png" id="59" name="Picture"/>
                    <pic:cNvPicPr>
                      <a:picLocks noChangeArrowheads="1" noChangeAspect="1"/>
                    </pic:cNvPicPr>
                  </pic:nvPicPr>
                  <pic:blipFill>
                    <a:blip r:embed="rId57"/>
                    <a:stretch>
                      <a:fillRect/>
                    </a:stretch>
                  </pic:blipFill>
                  <pic:spPr bwMode="auto">
                    <a:xfrm>
                      <a:off x="0" y="0"/>
                      <a:ext cx="4890135" cy="3423094"/>
                    </a:xfrm>
                    <a:prstGeom prst="rect">
                      <a:avLst/>
                    </a:prstGeom>
                    <a:noFill/>
                    <a:ln w="9525">
                      <a:noFill/>
                      <a:headEnd/>
                      <a:tailEnd/>
                    </a:ln>
                  </pic:spPr>
                </pic:pic>
              </a:graphicData>
            </a:graphic>
          </wp:inline>
        </w:drawing>
      </w:r>
    </w:p>
    <w:p>
      <w:pPr>
        <w:pStyle w:val="ImageCaption"/>
      </w:pPr>
      <w:r>
        <w:t xml:space="preserve">图3　两个内皮预测方向的主坐标比较（对应Fig3C）。</w:t>
      </w:r>
    </w:p>
    <w:p>
      <w:pPr>
        <w:pStyle w:val="BodyText"/>
      </w:pPr>
      <w:r>
        <w:t xml:space="preserve">预测与参考的对应进一步解释了图形。B预测簇含113个细胞，其中63个原参考为B cell、49个为lymphocyte。Macrophage预测簇76个细胞中73个参考为macrophage。Endothelial预测簇187个细胞均为endothelial cell参考，Vascular endothelial预测簇28个细胞中19个为该参考。两个内皮方向的细分来自GOA预测；原参考对它们使用同一个endothelial类别。</w:t>
      </w:r>
    </w:p>
    <w:bookmarkEnd w:id="60"/>
    <w:bookmarkStart w:id="64" w:name="fig3d实际拆分合并过程"/>
    <w:p>
      <w:pPr>
        <w:pStyle w:val="Heading2"/>
      </w:pPr>
      <w:r>
        <w:t xml:space="preserve">6.4 Fig3D：实际拆分合并过程</w:t>
      </w:r>
    </w:p>
    <w:p>
      <w:pPr>
        <w:pStyle w:val="FirstParagraph"/>
      </w:pPr>
      <w:r>
        <w:t xml:space="preserve">图4来自保存的真实成员和方向历史，包含22个节点、23条边，21个非根节点均有阶段成员、方向和注释记录。每一层对应有拆分或合并的迭代，各节点内的关联图展示该阶段的细胞分布。</w:t>
      </w:r>
    </w:p>
    <w:p>
      <w:pPr>
        <w:pStyle w:val="CaptionedFigure"/>
        <w:keepNext/>
        <w:keepLines/>
        <w:jc w:val="center"/>
      </w:pPr>
      <w:r>
        <w:drawing>
          <wp:inline>
            <wp:extent cx="5465445" cy="3643630"/>
            <wp:effectExtent b="0" l="0" r="0" t="0"/>
            <wp:docPr descr="图4　LM真实拆分合并历史（对应Fig3D）。" title="" id="62" name="Picture"/>
            <a:graphic>
              <a:graphicData uri="http://schemas.openxmlformats.org/drawingml/2006/picture">
                <pic:pic>
                  <pic:nvPicPr>
                    <pic:cNvPr descr="assets/Fig3D_actual_split_merge_history.png" id="63" name="Picture"/>
                    <pic:cNvPicPr>
                      <a:picLocks noChangeArrowheads="1" noChangeAspect="1"/>
                    </pic:cNvPicPr>
                  </pic:nvPicPr>
                  <pic:blipFill>
                    <a:blip r:embed="rId61"/>
                    <a:stretch>
                      <a:fillRect/>
                    </a:stretch>
                  </pic:blipFill>
                  <pic:spPr bwMode="auto">
                    <a:xfrm>
                      <a:off x="0" y="0"/>
                      <a:ext cx="5465445" cy="3643630"/>
                    </a:xfrm>
                    <a:prstGeom prst="rect">
                      <a:avLst/>
                    </a:prstGeom>
                    <a:noFill/>
                    <a:ln w="9525">
                      <a:noFill/>
                      <a:headEnd/>
                      <a:tailEnd/>
                    </a:ln>
                  </pic:spPr>
                </pic:pic>
              </a:graphicData>
            </a:graphic>
          </wp:inline>
        </w:drawing>
      </w:r>
    </w:p>
    <w:p>
      <w:pPr>
        <w:pStyle w:val="ImageCaption"/>
      </w:pPr>
      <w:r>
        <w:t xml:space="preserve">图4　LM真实拆分合并历史（对应Fig3D）。</w:t>
      </w:r>
    </w:p>
    <w:p>
      <w:pPr>
        <w:pStyle w:val="BodyText"/>
      </w:pPr>
      <w:r>
        <w:t xml:space="preserve">历史图使用</w:t>
      </w:r>
      <w:r>
        <w:rPr>
          <w:rStyle w:val="VerbatimChar"/>
        </w:rPr>
        <w:t xml:space="preserve">keep_end=FALSE</w:t>
      </w:r>
      <w:r>
        <w:t xml:space="preserve">展示到最后一次拆分，最终成员表则来自随后的细化。因此一个末层25细胞分支与最终28细胞簇分别代表不同计算时点。历史注释保留Immune cell、Bergmann glial cell等上游预测名称，反映当时的基因富集结果。该图把初始8方向到最终7簇的调整过程与细胞几何联系起来。</w:t>
      </w:r>
    </w:p>
    <w:bookmarkEnd w:id="64"/>
    <w:bookmarkStart w:id="71" w:name="s1ab全部方向的定量关系"/>
    <w:p>
      <w:pPr>
        <w:pStyle w:val="Heading2"/>
      </w:pPr>
      <w:r>
        <w:t xml:space="preserve">6.5 S1A/B：全部方向的定量关系</w:t>
      </w:r>
    </w:p>
    <w:p>
      <w:pPr>
        <w:pStyle w:val="FirstParagraph"/>
      </w:pPr>
      <w:r>
        <w:t xml:space="preserve">图5给出7×7两两方向角矩阵，图6将七个基准关联图及其他方向投影组织成49个面板。前者适合读出明确角度，后者便于比较同一基准下其他簇的投影位置。</w:t>
      </w:r>
    </w:p>
    <w:p>
      <w:pPr>
        <w:pStyle w:val="CaptionedFigure"/>
        <w:keepNext/>
        <w:keepLines/>
        <w:jc w:val="center"/>
      </w:pPr>
      <w:r>
        <w:drawing>
          <wp:inline>
            <wp:extent cx="4890135" cy="4075112"/>
            <wp:effectExtent b="0" l="0" r="0" t="0"/>
            <wp:docPr descr="图5　全部簇方向的两两夹角，单位为度（对应S1A）。" title="" id="66" name="Picture"/>
            <a:graphic>
              <a:graphicData uri="http://schemas.openxmlformats.org/drawingml/2006/picture">
                <pic:pic>
                  <pic:nvPicPr>
                    <pic:cNvPr descr="assets/S1A_direction_angle_heatmap.png" id="67" name="Picture"/>
                    <pic:cNvPicPr>
                      <a:picLocks noChangeArrowheads="1" noChangeAspect="1"/>
                    </pic:cNvPicPr>
                  </pic:nvPicPr>
                  <pic:blipFill>
                    <a:blip r:embed="rId65"/>
                    <a:stretch>
                      <a:fillRect/>
                    </a:stretch>
                  </pic:blipFill>
                  <pic:spPr bwMode="auto">
                    <a:xfrm>
                      <a:off x="0" y="0"/>
                      <a:ext cx="4890135" cy="4075112"/>
                    </a:xfrm>
                    <a:prstGeom prst="rect">
                      <a:avLst/>
                    </a:prstGeom>
                    <a:noFill/>
                    <a:ln w="9525">
                      <a:noFill/>
                      <a:headEnd/>
                      <a:tailEnd/>
                    </a:ln>
                  </pic:spPr>
                </pic:pic>
              </a:graphicData>
            </a:graphic>
          </wp:inline>
        </w:drawing>
      </w:r>
    </w:p>
    <w:p>
      <w:pPr>
        <w:pStyle w:val="ImageCaption"/>
      </w:pPr>
      <w:r>
        <w:t xml:space="preserve">图5　全部簇方向的两两夹角，单位为度（对应S1A）。</w:t>
      </w:r>
    </w:p>
    <w:p>
      <w:pPr>
        <w:pStyle w:val="CaptionedFigure"/>
        <w:keepNext/>
        <w:keepLines/>
        <w:jc w:val="center"/>
      </w:pPr>
      <w:r>
        <w:drawing>
          <wp:inline>
            <wp:extent cx="5465445" cy="5465445"/>
            <wp:effectExtent b="0" l="0" r="0" t="0"/>
            <wp:docPr descr="图6　七个基准方向的关联图与方向投影矩阵（对应S1B）。" title="" id="69" name="Picture"/>
            <a:graphic>
              <a:graphicData uri="http://schemas.openxmlformats.org/drawingml/2006/picture">
                <pic:pic>
                  <pic:nvPicPr>
                    <pic:cNvPr descr="assets/S1B_direction_projection_matrix.png" id="70" name="Picture"/>
                    <pic:cNvPicPr>
                      <a:picLocks noChangeArrowheads="1" noChangeAspect="1"/>
                    </pic:cNvPicPr>
                  </pic:nvPicPr>
                  <pic:blipFill>
                    <a:blip r:embed="rId68"/>
                    <a:stretch>
                      <a:fillRect/>
                    </a:stretch>
                  </pic:blipFill>
                  <pic:spPr bwMode="auto">
                    <a:xfrm>
                      <a:off x="0" y="0"/>
                      <a:ext cx="5465445" cy="5465445"/>
                    </a:xfrm>
                    <a:prstGeom prst="rect">
                      <a:avLst/>
                    </a:prstGeom>
                    <a:noFill/>
                    <a:ln w="9525">
                      <a:noFill/>
                      <a:headEnd/>
                      <a:tailEnd/>
                    </a:ln>
                  </pic:spPr>
                </pic:pic>
              </a:graphicData>
            </a:graphic>
          </wp:inline>
        </w:drawing>
      </w:r>
    </w:p>
    <w:p>
      <w:pPr>
        <w:pStyle w:val="ImageCaption"/>
      </w:pPr>
      <w:r>
        <w:t xml:space="preserve">图6　七个基准方向的关联图与方向投影矩阵（对应S1B）。</w:t>
      </w:r>
    </w:p>
    <w:p>
      <w:pPr>
        <w:pStyle w:val="BodyText"/>
      </w:pPr>
      <w:r>
        <w:t xml:space="preserve">方向接近表示表达关联几何相近；结合原参考、自动注释和基因排名，可讨论哪些簇具有相似表达成分。方向角表保存了完整精度，补充了图中面板缩放后的视觉信息。</w:t>
      </w:r>
    </w:p>
    <w:bookmarkEnd w:id="71"/>
    <w:bookmarkStart w:id="75" w:name="s1c预测分区与参考标签"/>
    <w:p>
      <w:pPr>
        <w:pStyle w:val="Heading2"/>
      </w:pPr>
      <w:r>
        <w:t xml:space="preserve">6.6 S1C：预测分区与参考标签</w:t>
      </w:r>
    </w:p>
    <w:p>
      <w:pPr>
        <w:pStyle w:val="FirstParagraph"/>
      </w:pPr>
      <w:r>
        <w:t xml:space="preserve">图7保留1882个细胞在七个预测簇与八类原参考之间的全部流量。流量表、列联表和指标使用相同细胞ID，因此可以从总体ARI进一步定位到具体类别。</w:t>
      </w:r>
    </w:p>
    <w:p>
      <w:pPr>
        <w:pStyle w:val="CaptionedFigure"/>
        <w:keepNext/>
        <w:keepLines/>
        <w:jc w:val="center"/>
      </w:pPr>
      <w:r>
        <w:drawing>
          <wp:inline>
            <wp:extent cx="5465445" cy="4204188"/>
            <wp:effectExtent b="0" l="0" r="0" t="0"/>
            <wp:docPr descr="图7　LM七簇与八类原参考的细胞流量（对应S1C）。" title="" id="73" name="Picture"/>
            <a:graphic>
              <a:graphicData uri="http://schemas.openxmlformats.org/drawingml/2006/picture">
                <pic:pic>
                  <pic:nvPicPr>
                    <pic:cNvPr descr="assets/S1C_reference_sankey.png" id="74" name="Picture"/>
                    <pic:cNvPicPr>
                      <a:picLocks noChangeArrowheads="1" noChangeAspect="1"/>
                    </pic:cNvPicPr>
                  </pic:nvPicPr>
                  <pic:blipFill>
                    <a:blip r:embed="rId72"/>
                    <a:stretch>
                      <a:fillRect/>
                    </a:stretch>
                  </pic:blipFill>
                  <pic:spPr bwMode="auto">
                    <a:xfrm>
                      <a:off x="0" y="0"/>
                      <a:ext cx="5465445" cy="4204188"/>
                    </a:xfrm>
                    <a:prstGeom prst="rect">
                      <a:avLst/>
                    </a:prstGeom>
                    <a:noFill/>
                    <a:ln w="9525">
                      <a:noFill/>
                      <a:headEnd/>
                      <a:tailEnd/>
                    </a:ln>
                  </pic:spPr>
                </pic:pic>
              </a:graphicData>
            </a:graphic>
          </wp:inline>
        </w:drawing>
      </w:r>
    </w:p>
    <w:p>
      <w:pPr>
        <w:pStyle w:val="ImageCaption"/>
      </w:pPr>
      <w:r>
        <w:t xml:space="preserve">图7　LM七簇与八类原参考的细胞流量（对应S1C）。</w:t>
      </w:r>
    </w:p>
    <w:p>
      <w:pPr>
        <w:pStyle w:val="BodyText"/>
      </w:pPr>
      <w:r>
        <w:t xml:space="preserve">参考重叠显示，</w:t>
      </w:r>
      <w:r>
        <w:rPr>
          <w:rStyle w:val="VerbatimChar"/>
        </w:rPr>
        <w:t xml:space="preserve">cluster_1</w:t>
      </w:r>
      <w:r>
        <w:t xml:space="preserve">以skeletal muscle satellite cell为最大类别（526／940），Schwalie命名簇以mesenchymal stem cell为最大类别（488／490）。各簇的组成有不同纯度，解释了总体指标与局部结构之间的关系。自动预测提供基因集层面的注释，参考流量提供已发布标签层面的对应。</w:t>
      </w:r>
    </w:p>
    <w:bookmarkEnd w:id="75"/>
    <w:bookmarkStart w:id="82" w:name="s1de标准坐标与主坐标"/>
    <w:p>
      <w:pPr>
        <w:pStyle w:val="Heading2"/>
      </w:pPr>
      <w:r>
        <w:t xml:space="preserve">6.7 S1D/E：标准坐标与主坐标</w:t>
      </w:r>
    </w:p>
    <w:p>
      <w:pPr>
        <w:pStyle w:val="FirstParagraph"/>
      </w:pPr>
      <w:r>
        <w:t xml:space="preserve">图8和图9将对应的免疫、内皮展示转换为标准坐标，并叠加相同簇的方向。方向按奇异值逐轴转换，细胞与方向坐标由实际对象计算。</w:t>
      </w:r>
    </w:p>
    <w:p>
      <w:pPr>
        <w:pStyle w:val="CaptionedFigure"/>
        <w:keepNext/>
        <w:keepLines/>
        <w:jc w:val="center"/>
      </w:pPr>
      <w:r>
        <w:drawing>
          <wp:inline>
            <wp:extent cx="4890135" cy="3423094"/>
            <wp:effectExtent b="0" l="0" r="0" t="0"/>
            <wp:docPr descr="图8　免疫方向的标准坐标关联图（对应S1D）。" title="" id="77" name="Picture"/>
            <a:graphic>
              <a:graphicData uri="http://schemas.openxmlformats.org/drawingml/2006/picture">
                <pic:pic>
                  <pic:nvPicPr>
                    <pic:cNvPr descr="assets/S1D_Bcell_standard.png" id="78" name="Picture"/>
                    <pic:cNvPicPr>
                      <a:picLocks noChangeArrowheads="1" noChangeAspect="1"/>
                    </pic:cNvPicPr>
                  </pic:nvPicPr>
                  <pic:blipFill>
                    <a:blip r:embed="rId76"/>
                    <a:stretch>
                      <a:fillRect/>
                    </a:stretch>
                  </pic:blipFill>
                  <pic:spPr bwMode="auto">
                    <a:xfrm>
                      <a:off x="0" y="0"/>
                      <a:ext cx="4890135" cy="3423094"/>
                    </a:xfrm>
                    <a:prstGeom prst="rect">
                      <a:avLst/>
                    </a:prstGeom>
                    <a:noFill/>
                    <a:ln w="9525">
                      <a:noFill/>
                      <a:headEnd/>
                      <a:tailEnd/>
                    </a:ln>
                  </pic:spPr>
                </pic:pic>
              </a:graphicData>
            </a:graphic>
          </wp:inline>
        </w:drawing>
      </w:r>
    </w:p>
    <w:p>
      <w:pPr>
        <w:pStyle w:val="ImageCaption"/>
      </w:pPr>
      <w:r>
        <w:t xml:space="preserve">图8　免疫方向的标准坐标关联图（对应S1D）。</w:t>
      </w:r>
    </w:p>
    <w:p>
      <w:pPr>
        <w:pStyle w:val="CaptionedFigure"/>
        <w:keepNext/>
        <w:keepLines/>
        <w:jc w:val="center"/>
      </w:pPr>
      <w:r>
        <w:drawing>
          <wp:inline>
            <wp:extent cx="4890135" cy="3423094"/>
            <wp:effectExtent b="0" l="0" r="0" t="0"/>
            <wp:docPr descr="图9　内皮方向的标准坐标关联图（对应S1E）。" title="" id="80" name="Picture"/>
            <a:graphic>
              <a:graphicData uri="http://schemas.openxmlformats.org/drawingml/2006/picture">
                <pic:pic>
                  <pic:nvPicPr>
                    <pic:cNvPr descr="assets/S1E_endothelial_standard.png" id="81" name="Picture"/>
                    <pic:cNvPicPr>
                      <a:picLocks noChangeArrowheads="1" noChangeAspect="1"/>
                    </pic:cNvPicPr>
                  </pic:nvPicPr>
                  <pic:blipFill>
                    <a:blip r:embed="rId79"/>
                    <a:stretch>
                      <a:fillRect/>
                    </a:stretch>
                  </pic:blipFill>
                  <pic:spPr bwMode="auto">
                    <a:xfrm>
                      <a:off x="0" y="0"/>
                      <a:ext cx="4890135" cy="3423094"/>
                    </a:xfrm>
                    <a:prstGeom prst="rect">
                      <a:avLst/>
                    </a:prstGeom>
                    <a:noFill/>
                    <a:ln w="9525">
                      <a:noFill/>
                      <a:headEnd/>
                      <a:tailEnd/>
                    </a:ln>
                  </pic:spPr>
                </pic:pic>
              </a:graphicData>
            </a:graphic>
          </wp:inline>
        </w:drawing>
      </w:r>
    </w:p>
    <w:p>
      <w:pPr>
        <w:pStyle w:val="ImageCaption"/>
      </w:pPr>
      <w:r>
        <w:t xml:space="preserve">图9　内皮方向的标准坐标关联图（对应S1E）。</w:t>
      </w:r>
    </w:p>
    <w:p>
      <w:pPr>
        <w:pStyle w:val="BodyText"/>
      </w:pPr>
      <w:r>
        <w:t xml:space="preserve">本次两组比较中的最大角度变化为27.5359338°。这一结果展示了各轴缩放如何改变方向关系。主坐标图用于解释原聚类方向角，标准坐标图用于观察与联合显示基因相联系的坐标表达。修复后的底部图例完整显示比较方向。</w:t>
      </w:r>
    </w:p>
    <w:bookmarkEnd w:id="82"/>
    <w:bookmarkStart w:id="83" w:name="资源记录与数值检查"/>
    <w:p>
      <w:pPr>
        <w:pStyle w:val="Heading2"/>
      </w:pPr>
      <w:r>
        <w:t xml:space="preserve">6.8 资源记录与数值检查</w:t>
      </w:r>
    </w:p>
    <w:p>
      <w:pPr>
        <w:pStyle w:val="FirstParagraph"/>
      </w:pPr>
      <w:r>
        <w:t xml:space="preserve">LM本次真实案例进程耗时36.3743秒，R进程峰值RSS为2278652 KiB，约2.173 GiB。阶段记录中，CA为6.535秒，CAdir为3.770秒；进程总耗时还包括读取、检查、排名、注释及导出。</w:t>
      </w:r>
    </w:p>
    <w:p>
      <w:pPr>
        <w:pStyle w:val="BodyText"/>
      </w:pPr>
      <w:r>
        <w:t xml:space="preserve">独立检查从保存对象重算CA与关联图坐标、1200个基因分数及排名、ARI／NMI、GOA超几何与校正概率、Hungarian目标以及历史拓扑。最终图例修复经复验，九图和科学表采用固定提交。通过这些记录，数值、图形和运行对象形成可追溯对应。</w:t>
      </w:r>
    </w:p>
    <w:bookmarkEnd w:id="83"/>
    <w:bookmarkEnd w:id="84"/>
    <w:bookmarkStart w:id="100" w:name="hsc新数据对照结果"/>
    <w:p>
      <w:pPr>
        <w:pStyle w:val="Heading1"/>
      </w:pPr>
      <w:r>
        <w:t xml:space="preserve">7 HSC新数据对照结果</w:t>
      </w:r>
    </w:p>
    <w:bookmarkStart w:id="88" w:name="共同队列与比较设计"/>
    <w:p>
      <w:pPr>
        <w:pStyle w:val="Heading2"/>
      </w:pPr>
      <w:r>
        <w:t xml:space="preserve">7.1 共同队列与比较设计</w:t>
      </w:r>
    </w:p>
    <w:p>
      <w:pPr>
        <w:pStyle w:val="FirstParagraph"/>
      </w:pPr>
      <w:r>
        <w:t xml:space="preserve">共同QC由1920个候选细胞保留1656个，得到40721个合格基因和6000个共享高变基因。两种方法使用相同表达矩阵及1641细胞评价集合，各运行五个种子。图10展示质量控制与最终队列组成。</w:t>
      </w:r>
    </w:p>
    <w:p>
      <w:pPr>
        <w:pStyle w:val="CaptionedFigure"/>
        <w:keepNext/>
        <w:keepLines/>
        <w:jc w:val="center"/>
      </w:pPr>
      <w:r>
        <w:drawing>
          <wp:inline>
            <wp:extent cx="5177790" cy="3106674"/>
            <wp:effectExtent b="0" l="0" r="0" t="0"/>
            <wp:docPr descr="图10　HSC共同QC与聚类／评价队列组成。" title="" id="86" name="Picture"/>
            <a:graphic>
              <a:graphicData uri="http://schemas.openxmlformats.org/drawingml/2006/picture">
                <pic:pic>
                  <pic:nvPicPr>
                    <pic:cNvPr descr="assets/HSC_04-common-cohort.png" id="87" name="Picture"/>
                    <pic:cNvPicPr>
                      <a:picLocks noChangeArrowheads="1" noChangeAspect="1"/>
                    </pic:cNvPicPr>
                  </pic:nvPicPr>
                  <pic:blipFill>
                    <a:blip r:embed="rId85"/>
                    <a:stretch>
                      <a:fillRect/>
                    </a:stretch>
                  </pic:blipFill>
                  <pic:spPr bwMode="auto">
                    <a:xfrm>
                      <a:off x="0" y="0"/>
                      <a:ext cx="5177790" cy="3106674"/>
                    </a:xfrm>
                    <a:prstGeom prst="rect">
                      <a:avLst/>
                    </a:prstGeom>
                    <a:noFill/>
                    <a:ln w="9525">
                      <a:noFill/>
                      <a:headEnd/>
                      <a:tailEnd/>
                    </a:ln>
                  </pic:spPr>
                </pic:pic>
              </a:graphicData>
            </a:graphic>
          </wp:inline>
        </w:drawing>
      </w:r>
    </w:p>
    <w:p>
      <w:pPr>
        <w:pStyle w:val="ImageCaption"/>
      </w:pPr>
      <w:r>
        <w:t xml:space="preserve">图10　HSC共同QC与聚类／评价队列组成。</w:t>
      </w:r>
    </w:p>
    <w:p>
      <w:pPr>
        <w:pStyle w:val="BodyText"/>
      </w:pPr>
      <w:r>
        <w:t xml:space="preserve">比较保持了输入、特征、降维维数、参考集合及预定种子的一致；CAdir的方向更新、拆分合并与PCA-SNN-Louvain的社区划分分别按各自配置执行。</w:t>
      </w:r>
    </w:p>
    <w:bookmarkEnd w:id="88"/>
    <w:bookmarkStart w:id="92" w:name="全部种子的指标"/>
    <w:p>
      <w:pPr>
        <w:pStyle w:val="Heading2"/>
      </w:pPr>
      <w:r>
        <w:t xml:space="preserve">7.2 全部种子的指标</w:t>
      </w:r>
    </w:p>
    <w:p>
      <w:pPr>
        <w:pStyle w:val="FirstParagraph"/>
      </w:pPr>
      <w:r>
        <w:rPr>
          <w:b/>
          <w:bCs/>
        </w:rPr>
        <w:t xml:space="preserve">表2　HSC两方法五种子完整结果</w:t>
      </w:r>
    </w:p>
    <w:tbl>
      <w:tblPr>
        <w:tblStyle w:val="Table"/>
        <w:tblW w:type="auto" w:w="0"/>
        <w:jc w:val="left"/>
        <w:tblLayout w:type="fixed"/>
        <w:tblLook w:firstRow="1" w:lastRow="0" w:firstColumn="0" w:lastColumn="0" w:noHBand="0" w:noVBand="0" w:val="0020"/>
      </w:tblPr>
      <w:tblGrid>
        <w:gridCol w:w="1814"/>
        <w:gridCol w:w="1814"/>
        <w:gridCol w:w="1814"/>
        <w:gridCol w:w="1814"/>
        <w:gridCol w:w="1814"/>
      </w:tblGrid>
      <w:tr>
        <w:trPr>
          <w:tblHeader w:val="on"/>
          <w:cantSplit/>
          <w:tblHeader/>
        </w:trPr>
        <w:tc>
          <w:tcPr/>
          <w:p>
            <w:pPr>
              <w:pStyle w:val="Compact"/>
              <w:spacing w:after="40" w:line="264" w:lineRule="auto"/>
              <w:jc w:val="left"/>
            </w:pPr>
            <w:r>
              <w:rPr>
                <w:sz w:val="17"/>
              </w:rPr>
              <w:t xml:space="preserve">方法</w:t>
            </w:r>
          </w:p>
        </w:tc>
        <w:tc>
          <w:tcPr/>
          <w:p>
            <w:pPr>
              <w:pStyle w:val="Compact"/>
              <w:spacing w:after="40" w:line="264" w:lineRule="auto"/>
              <w:jc w:val="right"/>
            </w:pPr>
            <w:r>
              <w:rPr>
                <w:sz w:val="17"/>
              </w:rPr>
              <w:t xml:space="preserve">种子</w:t>
            </w:r>
          </w:p>
        </w:tc>
        <w:tc>
          <w:tcPr/>
          <w:p>
            <w:pPr>
              <w:pStyle w:val="Compact"/>
              <w:spacing w:after="40" w:line="264" w:lineRule="auto"/>
              <w:jc w:val="right"/>
            </w:pPr>
            <w:r>
              <w:rPr>
                <w:sz w:val="17"/>
              </w:rPr>
              <w:t xml:space="preserve">ARI</w:t>
            </w:r>
          </w:p>
        </w:tc>
        <w:tc>
          <w:tcPr/>
          <w:p>
            <w:pPr>
              <w:pStyle w:val="Compact"/>
              <w:spacing w:after="40" w:line="264" w:lineRule="auto"/>
              <w:jc w:val="right"/>
            </w:pPr>
            <w:r>
              <w:rPr>
                <w:sz w:val="17"/>
              </w:rPr>
              <w:t xml:space="preserve">NMImax</w:t>
            </w:r>
          </w:p>
        </w:tc>
        <w:tc>
          <w:tcPr/>
          <w:p>
            <w:pPr>
              <w:pStyle w:val="Compact"/>
              <w:spacing w:after="40" w:line="264" w:lineRule="auto"/>
              <w:jc w:val="right"/>
            </w:pPr>
            <w:r>
              <w:rPr>
                <w:sz w:val="17"/>
              </w:rPr>
              <w:t xml:space="preserve">簇数</w:t>
            </w:r>
          </w:p>
        </w:tc>
      </w:tr>
      <w:tr>
        <w:trPr>
          <w:cantSplit/>
        </w:trPr>
        <w:tc>
          <w:tcPr/>
          <w:p>
            <w:pPr>
              <w:pStyle w:val="Compact"/>
              <w:spacing w:after="40" w:line="264" w:lineRule="auto"/>
              <w:jc w:val="left"/>
            </w:pPr>
            <w:r>
              <w:rPr>
                <w:sz w:val="17"/>
              </w:rPr>
              <w:t xml:space="preserve">CAdir</w:t>
            </w:r>
          </w:p>
        </w:tc>
        <w:tc>
          <w:tcPr/>
          <w:p>
            <w:pPr>
              <w:pStyle w:val="Compact"/>
              <w:spacing w:after="40" w:line="264" w:lineRule="auto"/>
              <w:jc w:val="right"/>
            </w:pPr>
            <w:r>
              <w:rPr>
                <w:sz w:val="17"/>
              </w:rPr>
              <w:t xml:space="preserve">2358</w:t>
            </w:r>
          </w:p>
        </w:tc>
        <w:tc>
          <w:tcPr/>
          <w:p>
            <w:pPr>
              <w:pStyle w:val="Compact"/>
              <w:spacing w:after="40" w:line="264" w:lineRule="auto"/>
              <w:jc w:val="right"/>
            </w:pPr>
            <w:r>
              <w:rPr>
                <w:sz w:val="17"/>
              </w:rPr>
              <w:t xml:space="preserve">0.288542</w:t>
            </w:r>
          </w:p>
        </w:tc>
        <w:tc>
          <w:tcPr/>
          <w:p>
            <w:pPr>
              <w:pStyle w:val="Compact"/>
              <w:spacing w:after="40" w:line="264" w:lineRule="auto"/>
              <w:jc w:val="right"/>
            </w:pPr>
            <w:r>
              <w:rPr>
                <w:sz w:val="17"/>
              </w:rPr>
              <w:t xml:space="preserve">0.335759</w:t>
            </w:r>
          </w:p>
        </w:tc>
        <w:tc>
          <w:tcPr/>
          <w:p>
            <w:pPr>
              <w:pStyle w:val="Compact"/>
              <w:spacing w:after="40" w:line="264" w:lineRule="auto"/>
              <w:jc w:val="right"/>
            </w:pPr>
            <w:r>
              <w:rPr>
                <w:sz w:val="17"/>
              </w:rPr>
              <w:t xml:space="preserve">11</w:t>
            </w:r>
          </w:p>
        </w:tc>
      </w:tr>
      <w:tr>
        <w:trPr>
          <w:cantSplit/>
        </w:trPr>
        <w:tc>
          <w:tcPr/>
          <w:p>
            <w:pPr>
              <w:pStyle w:val="Compact"/>
              <w:spacing w:after="40" w:line="264" w:lineRule="auto"/>
              <w:jc w:val="left"/>
            </w:pPr>
            <w:r>
              <w:rPr>
                <w:sz w:val="17"/>
              </w:rPr>
              <w:t xml:space="preserve">CAdir</w:t>
            </w:r>
          </w:p>
        </w:tc>
        <w:tc>
          <w:tcPr/>
          <w:p>
            <w:pPr>
              <w:pStyle w:val="Compact"/>
              <w:spacing w:after="40" w:line="264" w:lineRule="auto"/>
              <w:jc w:val="right"/>
            </w:pPr>
            <w:r>
              <w:rPr>
                <w:sz w:val="17"/>
              </w:rPr>
              <w:t xml:space="preserve">101</w:t>
            </w:r>
          </w:p>
        </w:tc>
        <w:tc>
          <w:tcPr/>
          <w:p>
            <w:pPr>
              <w:pStyle w:val="Compact"/>
              <w:spacing w:after="40" w:line="264" w:lineRule="auto"/>
              <w:jc w:val="right"/>
            </w:pPr>
            <w:r>
              <w:rPr>
                <w:sz w:val="17"/>
              </w:rPr>
              <w:t xml:space="preserve">0.293858</w:t>
            </w:r>
          </w:p>
        </w:tc>
        <w:tc>
          <w:tcPr/>
          <w:p>
            <w:pPr>
              <w:pStyle w:val="Compact"/>
              <w:spacing w:after="40" w:line="264" w:lineRule="auto"/>
              <w:jc w:val="right"/>
            </w:pPr>
            <w:r>
              <w:rPr>
                <w:sz w:val="17"/>
              </w:rPr>
              <w:t xml:space="preserve">0.346271</w:t>
            </w:r>
          </w:p>
        </w:tc>
        <w:tc>
          <w:tcPr/>
          <w:p>
            <w:pPr>
              <w:pStyle w:val="Compact"/>
              <w:spacing w:after="40" w:line="264" w:lineRule="auto"/>
              <w:jc w:val="right"/>
            </w:pPr>
            <w:r>
              <w:rPr>
                <w:sz w:val="17"/>
              </w:rPr>
              <w:t xml:space="preserve">9</w:t>
            </w:r>
          </w:p>
        </w:tc>
      </w:tr>
      <w:tr>
        <w:trPr>
          <w:cantSplit/>
        </w:trPr>
        <w:tc>
          <w:tcPr/>
          <w:p>
            <w:pPr>
              <w:pStyle w:val="Compact"/>
              <w:spacing w:after="40" w:line="264" w:lineRule="auto"/>
              <w:jc w:val="left"/>
            </w:pPr>
            <w:r>
              <w:rPr>
                <w:sz w:val="17"/>
              </w:rPr>
              <w:t xml:space="preserve">CAdir</w:t>
            </w:r>
          </w:p>
        </w:tc>
        <w:tc>
          <w:tcPr/>
          <w:p>
            <w:pPr>
              <w:pStyle w:val="Compact"/>
              <w:spacing w:after="40" w:line="264" w:lineRule="auto"/>
              <w:jc w:val="right"/>
            </w:pPr>
            <w:r>
              <w:rPr>
                <w:sz w:val="17"/>
              </w:rPr>
              <w:t xml:space="preserve">202</w:t>
            </w:r>
          </w:p>
        </w:tc>
        <w:tc>
          <w:tcPr/>
          <w:p>
            <w:pPr>
              <w:pStyle w:val="Compact"/>
              <w:spacing w:after="40" w:line="264" w:lineRule="auto"/>
              <w:jc w:val="right"/>
            </w:pPr>
            <w:r>
              <w:rPr>
                <w:sz w:val="17"/>
              </w:rPr>
              <w:t xml:space="preserve">0.291506</w:t>
            </w:r>
          </w:p>
        </w:tc>
        <w:tc>
          <w:tcPr/>
          <w:p>
            <w:pPr>
              <w:pStyle w:val="Compact"/>
              <w:spacing w:after="40" w:line="264" w:lineRule="auto"/>
              <w:jc w:val="right"/>
            </w:pPr>
            <w:r>
              <w:rPr>
                <w:sz w:val="17"/>
              </w:rPr>
              <w:t xml:space="preserve">0.343414</w:t>
            </w:r>
          </w:p>
        </w:tc>
        <w:tc>
          <w:tcPr/>
          <w:p>
            <w:pPr>
              <w:pStyle w:val="Compact"/>
              <w:spacing w:after="40" w:line="264" w:lineRule="auto"/>
              <w:jc w:val="right"/>
            </w:pPr>
            <w:r>
              <w:rPr>
                <w:sz w:val="17"/>
              </w:rPr>
              <w:t xml:space="preserve">10</w:t>
            </w:r>
          </w:p>
        </w:tc>
      </w:tr>
      <w:tr>
        <w:trPr>
          <w:cantSplit/>
        </w:trPr>
        <w:tc>
          <w:tcPr/>
          <w:p>
            <w:pPr>
              <w:pStyle w:val="Compact"/>
              <w:spacing w:after="40" w:line="264" w:lineRule="auto"/>
              <w:jc w:val="left"/>
            </w:pPr>
            <w:r>
              <w:rPr>
                <w:sz w:val="17"/>
              </w:rPr>
              <w:t xml:space="preserve">CAdir</w:t>
            </w:r>
          </w:p>
        </w:tc>
        <w:tc>
          <w:tcPr/>
          <w:p>
            <w:pPr>
              <w:pStyle w:val="Compact"/>
              <w:spacing w:after="40" w:line="264" w:lineRule="auto"/>
              <w:jc w:val="right"/>
            </w:pPr>
            <w:r>
              <w:rPr>
                <w:sz w:val="17"/>
              </w:rPr>
              <w:t xml:space="preserve">303</w:t>
            </w:r>
          </w:p>
        </w:tc>
        <w:tc>
          <w:tcPr/>
          <w:p>
            <w:pPr>
              <w:pStyle w:val="Compact"/>
              <w:spacing w:after="40" w:line="264" w:lineRule="auto"/>
              <w:jc w:val="right"/>
            </w:pPr>
            <w:r>
              <w:rPr>
                <w:sz w:val="17"/>
              </w:rPr>
              <w:t xml:space="preserve">0.289742</w:t>
            </w:r>
          </w:p>
        </w:tc>
        <w:tc>
          <w:tcPr/>
          <w:p>
            <w:pPr>
              <w:pStyle w:val="Compact"/>
              <w:spacing w:after="40" w:line="264" w:lineRule="auto"/>
              <w:jc w:val="right"/>
            </w:pPr>
            <w:r>
              <w:rPr>
                <w:sz w:val="17"/>
              </w:rPr>
              <w:t xml:space="preserve">0.342399</w:t>
            </w:r>
          </w:p>
        </w:tc>
        <w:tc>
          <w:tcPr/>
          <w:p>
            <w:pPr>
              <w:pStyle w:val="Compact"/>
              <w:spacing w:after="40" w:line="264" w:lineRule="auto"/>
              <w:jc w:val="right"/>
            </w:pPr>
            <w:r>
              <w:rPr>
                <w:sz w:val="17"/>
              </w:rPr>
              <w:t xml:space="preserve">10</w:t>
            </w:r>
          </w:p>
        </w:tc>
      </w:tr>
      <w:tr>
        <w:trPr>
          <w:cantSplit/>
        </w:trPr>
        <w:tc>
          <w:tcPr/>
          <w:p>
            <w:pPr>
              <w:pStyle w:val="Compact"/>
              <w:spacing w:after="40" w:line="264" w:lineRule="auto"/>
              <w:jc w:val="left"/>
            </w:pPr>
            <w:r>
              <w:rPr>
                <w:sz w:val="17"/>
              </w:rPr>
              <w:t xml:space="preserve">CAdir</w:t>
            </w:r>
          </w:p>
        </w:tc>
        <w:tc>
          <w:tcPr/>
          <w:p>
            <w:pPr>
              <w:pStyle w:val="Compact"/>
              <w:spacing w:after="40" w:line="264" w:lineRule="auto"/>
              <w:jc w:val="right"/>
            </w:pPr>
            <w:r>
              <w:rPr>
                <w:sz w:val="17"/>
              </w:rPr>
              <w:t xml:space="preserve">404</w:t>
            </w:r>
          </w:p>
        </w:tc>
        <w:tc>
          <w:tcPr/>
          <w:p>
            <w:pPr>
              <w:pStyle w:val="Compact"/>
              <w:spacing w:after="40" w:line="264" w:lineRule="auto"/>
              <w:jc w:val="right"/>
            </w:pPr>
            <w:r>
              <w:rPr>
                <w:sz w:val="17"/>
              </w:rPr>
              <w:t xml:space="preserve">0.294305</w:t>
            </w:r>
          </w:p>
        </w:tc>
        <w:tc>
          <w:tcPr/>
          <w:p>
            <w:pPr>
              <w:pStyle w:val="Compact"/>
              <w:spacing w:after="40" w:line="264" w:lineRule="auto"/>
              <w:jc w:val="right"/>
            </w:pPr>
            <w:r>
              <w:rPr>
                <w:sz w:val="17"/>
              </w:rPr>
              <w:t xml:space="preserve">0.345318</w:t>
            </w:r>
          </w:p>
        </w:tc>
        <w:tc>
          <w:tcPr/>
          <w:p>
            <w:pPr>
              <w:pStyle w:val="Compact"/>
              <w:spacing w:after="40" w:line="264" w:lineRule="auto"/>
              <w:jc w:val="right"/>
            </w:pPr>
            <w:r>
              <w:rPr>
                <w:sz w:val="17"/>
              </w:rPr>
              <w:t xml:space="preserve">9</w:t>
            </w:r>
          </w:p>
        </w:tc>
      </w:tr>
      <w:tr>
        <w:trPr>
          <w:cantSplit/>
        </w:trPr>
        <w:tc>
          <w:tcPr/>
          <w:p>
            <w:pPr>
              <w:pStyle w:val="Compact"/>
              <w:spacing w:after="40" w:line="264" w:lineRule="auto"/>
              <w:jc w:val="left"/>
            </w:pPr>
            <w:r>
              <w:rPr>
                <w:sz w:val="17"/>
              </w:rPr>
              <w:t xml:space="preserve">PCA＋SNN＋Louvain</w:t>
            </w:r>
          </w:p>
        </w:tc>
        <w:tc>
          <w:tcPr/>
          <w:p>
            <w:pPr>
              <w:pStyle w:val="Compact"/>
              <w:spacing w:after="40" w:line="264" w:lineRule="auto"/>
              <w:jc w:val="right"/>
            </w:pPr>
            <w:r>
              <w:rPr>
                <w:sz w:val="17"/>
              </w:rPr>
              <w:t xml:space="preserve">2358</w:t>
            </w:r>
          </w:p>
        </w:tc>
        <w:tc>
          <w:tcPr/>
          <w:p>
            <w:pPr>
              <w:pStyle w:val="Compact"/>
              <w:spacing w:after="40" w:line="264" w:lineRule="auto"/>
              <w:jc w:val="right"/>
            </w:pPr>
            <w:r>
              <w:rPr>
                <w:sz w:val="17"/>
              </w:rPr>
              <w:t xml:space="preserve">0.266975</w:t>
            </w:r>
          </w:p>
        </w:tc>
        <w:tc>
          <w:tcPr/>
          <w:p>
            <w:pPr>
              <w:pStyle w:val="Compact"/>
              <w:spacing w:after="40" w:line="264" w:lineRule="auto"/>
              <w:jc w:val="right"/>
            </w:pPr>
            <w:r>
              <w:rPr>
                <w:sz w:val="17"/>
              </w:rPr>
              <w:t xml:space="preserve">0.356258</w:t>
            </w:r>
          </w:p>
        </w:tc>
        <w:tc>
          <w:tcPr/>
          <w:p>
            <w:pPr>
              <w:pStyle w:val="Compact"/>
              <w:spacing w:after="40" w:line="264" w:lineRule="auto"/>
              <w:jc w:val="right"/>
            </w:pPr>
            <w:r>
              <w:rPr>
                <w:sz w:val="17"/>
              </w:rPr>
              <w:t xml:space="preserve">7</w:t>
            </w:r>
          </w:p>
        </w:tc>
      </w:tr>
      <w:tr>
        <w:trPr>
          <w:cantSplit/>
        </w:trPr>
        <w:tc>
          <w:tcPr/>
          <w:p>
            <w:pPr>
              <w:pStyle w:val="Compact"/>
              <w:spacing w:after="40" w:line="264" w:lineRule="auto"/>
              <w:jc w:val="left"/>
            </w:pPr>
            <w:r>
              <w:rPr>
                <w:sz w:val="17"/>
              </w:rPr>
              <w:t xml:space="preserve">PCA＋SNN＋Louvain</w:t>
            </w:r>
          </w:p>
        </w:tc>
        <w:tc>
          <w:tcPr/>
          <w:p>
            <w:pPr>
              <w:pStyle w:val="Compact"/>
              <w:spacing w:after="40" w:line="264" w:lineRule="auto"/>
              <w:jc w:val="right"/>
            </w:pPr>
            <w:r>
              <w:rPr>
                <w:sz w:val="17"/>
              </w:rPr>
              <w:t xml:space="preserve">101</w:t>
            </w:r>
          </w:p>
        </w:tc>
        <w:tc>
          <w:tcPr/>
          <w:p>
            <w:pPr>
              <w:pStyle w:val="Compact"/>
              <w:spacing w:after="40" w:line="264" w:lineRule="auto"/>
              <w:jc w:val="right"/>
            </w:pPr>
            <w:r>
              <w:rPr>
                <w:sz w:val="17"/>
              </w:rPr>
              <w:t xml:space="preserve">0.269439</w:t>
            </w:r>
          </w:p>
        </w:tc>
        <w:tc>
          <w:tcPr/>
          <w:p>
            <w:pPr>
              <w:pStyle w:val="Compact"/>
              <w:spacing w:after="40" w:line="264" w:lineRule="auto"/>
              <w:jc w:val="right"/>
            </w:pPr>
            <w:r>
              <w:rPr>
                <w:sz w:val="17"/>
              </w:rPr>
              <w:t xml:space="preserve">0.356192</w:t>
            </w:r>
          </w:p>
        </w:tc>
        <w:tc>
          <w:tcPr/>
          <w:p>
            <w:pPr>
              <w:pStyle w:val="Compact"/>
              <w:spacing w:after="40" w:line="264" w:lineRule="auto"/>
              <w:jc w:val="right"/>
            </w:pPr>
            <w:r>
              <w:rPr>
                <w:sz w:val="17"/>
              </w:rPr>
              <w:t xml:space="preserve">7</w:t>
            </w:r>
          </w:p>
        </w:tc>
      </w:tr>
      <w:tr>
        <w:trPr>
          <w:cantSplit/>
        </w:trPr>
        <w:tc>
          <w:tcPr/>
          <w:p>
            <w:pPr>
              <w:pStyle w:val="Compact"/>
              <w:spacing w:after="40" w:line="264" w:lineRule="auto"/>
              <w:jc w:val="left"/>
            </w:pPr>
            <w:r>
              <w:rPr>
                <w:sz w:val="17"/>
              </w:rPr>
              <w:t xml:space="preserve">PCA＋SNN＋Louvain</w:t>
            </w:r>
          </w:p>
        </w:tc>
        <w:tc>
          <w:tcPr/>
          <w:p>
            <w:pPr>
              <w:pStyle w:val="Compact"/>
              <w:spacing w:after="40" w:line="264" w:lineRule="auto"/>
              <w:jc w:val="right"/>
            </w:pPr>
            <w:r>
              <w:rPr>
                <w:sz w:val="17"/>
              </w:rPr>
              <w:t xml:space="preserve">202</w:t>
            </w:r>
          </w:p>
        </w:tc>
        <w:tc>
          <w:tcPr/>
          <w:p>
            <w:pPr>
              <w:pStyle w:val="Compact"/>
              <w:spacing w:after="40" w:line="264" w:lineRule="auto"/>
              <w:jc w:val="right"/>
            </w:pPr>
            <w:r>
              <w:rPr>
                <w:sz w:val="17"/>
              </w:rPr>
              <w:t xml:space="preserve">0.269345</w:t>
            </w:r>
          </w:p>
        </w:tc>
        <w:tc>
          <w:tcPr/>
          <w:p>
            <w:pPr>
              <w:pStyle w:val="Compact"/>
              <w:spacing w:after="40" w:line="264" w:lineRule="auto"/>
              <w:jc w:val="right"/>
            </w:pPr>
            <w:r>
              <w:rPr>
                <w:sz w:val="17"/>
              </w:rPr>
              <w:t xml:space="preserve">0.356464</w:t>
            </w:r>
          </w:p>
        </w:tc>
        <w:tc>
          <w:tcPr/>
          <w:p>
            <w:pPr>
              <w:pStyle w:val="Compact"/>
              <w:spacing w:after="40" w:line="264" w:lineRule="auto"/>
              <w:jc w:val="right"/>
            </w:pPr>
            <w:r>
              <w:rPr>
                <w:sz w:val="17"/>
              </w:rPr>
              <w:t xml:space="preserve">7</w:t>
            </w:r>
          </w:p>
        </w:tc>
      </w:tr>
      <w:tr>
        <w:trPr>
          <w:cantSplit/>
        </w:trPr>
        <w:tc>
          <w:tcPr/>
          <w:p>
            <w:pPr>
              <w:pStyle w:val="Compact"/>
              <w:spacing w:after="40" w:line="264" w:lineRule="auto"/>
              <w:jc w:val="left"/>
            </w:pPr>
            <w:r>
              <w:rPr>
                <w:sz w:val="17"/>
              </w:rPr>
              <w:t xml:space="preserve">PCA＋SNN＋Louvain</w:t>
            </w:r>
          </w:p>
        </w:tc>
        <w:tc>
          <w:tcPr/>
          <w:p>
            <w:pPr>
              <w:pStyle w:val="Compact"/>
              <w:spacing w:after="40" w:line="264" w:lineRule="auto"/>
              <w:jc w:val="right"/>
            </w:pPr>
            <w:r>
              <w:rPr>
                <w:sz w:val="17"/>
              </w:rPr>
              <w:t xml:space="preserve">303</w:t>
            </w:r>
          </w:p>
        </w:tc>
        <w:tc>
          <w:tcPr/>
          <w:p>
            <w:pPr>
              <w:pStyle w:val="Compact"/>
              <w:spacing w:after="40" w:line="264" w:lineRule="auto"/>
              <w:jc w:val="right"/>
            </w:pPr>
            <w:r>
              <w:rPr>
                <w:sz w:val="17"/>
              </w:rPr>
              <w:t xml:space="preserve">0.268724</w:t>
            </w:r>
          </w:p>
        </w:tc>
        <w:tc>
          <w:tcPr/>
          <w:p>
            <w:pPr>
              <w:pStyle w:val="Compact"/>
              <w:spacing w:after="40" w:line="264" w:lineRule="auto"/>
              <w:jc w:val="right"/>
            </w:pPr>
            <w:r>
              <w:rPr>
                <w:sz w:val="17"/>
              </w:rPr>
              <w:t xml:space="preserve">0.358623</w:t>
            </w:r>
          </w:p>
        </w:tc>
        <w:tc>
          <w:tcPr/>
          <w:p>
            <w:pPr>
              <w:pStyle w:val="Compact"/>
              <w:spacing w:after="40" w:line="264" w:lineRule="auto"/>
              <w:jc w:val="right"/>
            </w:pPr>
            <w:r>
              <w:rPr>
                <w:sz w:val="17"/>
              </w:rPr>
              <w:t xml:space="preserve">7</w:t>
            </w:r>
          </w:p>
        </w:tc>
      </w:tr>
      <w:tr>
        <w:trPr>
          <w:cantSplit/>
        </w:trPr>
        <w:tc>
          <w:tcPr/>
          <w:p>
            <w:pPr>
              <w:pStyle w:val="Compact"/>
              <w:spacing w:after="40" w:line="264" w:lineRule="auto"/>
              <w:jc w:val="left"/>
            </w:pPr>
            <w:r>
              <w:rPr>
                <w:sz w:val="17"/>
              </w:rPr>
              <w:t xml:space="preserve">PCA＋SNN＋Louvain</w:t>
            </w:r>
          </w:p>
        </w:tc>
        <w:tc>
          <w:tcPr/>
          <w:p>
            <w:pPr>
              <w:pStyle w:val="Compact"/>
              <w:spacing w:after="40" w:line="264" w:lineRule="auto"/>
              <w:jc w:val="right"/>
            </w:pPr>
            <w:r>
              <w:rPr>
                <w:sz w:val="17"/>
              </w:rPr>
              <w:t xml:space="preserve">404</w:t>
            </w:r>
          </w:p>
        </w:tc>
        <w:tc>
          <w:tcPr/>
          <w:p>
            <w:pPr>
              <w:pStyle w:val="Compact"/>
              <w:spacing w:after="40" w:line="264" w:lineRule="auto"/>
              <w:jc w:val="right"/>
            </w:pPr>
            <w:r>
              <w:rPr>
                <w:sz w:val="17"/>
              </w:rPr>
              <w:t xml:space="preserve">0.269799</w:t>
            </w:r>
          </w:p>
        </w:tc>
        <w:tc>
          <w:tcPr/>
          <w:p>
            <w:pPr>
              <w:pStyle w:val="Compact"/>
              <w:spacing w:after="40" w:line="264" w:lineRule="auto"/>
              <w:jc w:val="right"/>
            </w:pPr>
            <w:r>
              <w:rPr>
                <w:sz w:val="17"/>
              </w:rPr>
              <w:t xml:space="preserve">0.359383</w:t>
            </w:r>
          </w:p>
        </w:tc>
        <w:tc>
          <w:tcPr/>
          <w:p>
            <w:pPr>
              <w:pStyle w:val="Compact"/>
              <w:spacing w:after="40" w:line="264" w:lineRule="auto"/>
              <w:jc w:val="right"/>
            </w:pPr>
            <w:r>
              <w:rPr>
                <w:sz w:val="17"/>
              </w:rPr>
              <w:t xml:space="preserve">7</w:t>
            </w:r>
          </w:p>
        </w:tc>
      </w:tr>
    </w:tbl>
    <w:p>
      <w:pPr>
        <w:pStyle w:val="BodyText"/>
      </w:pPr>
      <w:r>
        <w:t xml:space="preserve">图11展示全部十次运行。两方法成功次数均为5／5。CAdir的ARI范围为0.288542—0.294305，基线为0.266975—0.269799；CAdir的NMImax范围为0.335759—0.346271，基线为0.356192—0.359383。</w:t>
      </w:r>
    </w:p>
    <w:p>
      <w:pPr>
        <w:pStyle w:val="CaptionedFigure"/>
        <w:keepNext/>
        <w:keepLines/>
        <w:jc w:val="center"/>
      </w:pPr>
      <w:r>
        <w:drawing>
          <wp:inline>
            <wp:extent cx="5465445" cy="4250901"/>
            <wp:effectExtent b="0" l="0" r="0" t="0"/>
            <wp:docPr descr="图11　HSC两方法五种子ARI与NMImax。" title="" id="90" name="Picture"/>
            <a:graphic>
              <a:graphicData uri="http://schemas.openxmlformats.org/drawingml/2006/picture">
                <pic:pic>
                  <pic:nvPicPr>
                    <pic:cNvPr descr="assets/HSC_01-all-seed-ARI-NMI.png" id="91" name="Picture"/>
                    <pic:cNvPicPr>
                      <a:picLocks noChangeArrowheads="1" noChangeAspect="1"/>
                    </pic:cNvPicPr>
                  </pic:nvPicPr>
                  <pic:blipFill>
                    <a:blip r:embed="rId89"/>
                    <a:stretch>
                      <a:fillRect/>
                    </a:stretch>
                  </pic:blipFill>
                  <pic:spPr bwMode="auto">
                    <a:xfrm>
                      <a:off x="0" y="0"/>
                      <a:ext cx="5465445" cy="4250901"/>
                    </a:xfrm>
                    <a:prstGeom prst="rect">
                      <a:avLst/>
                    </a:prstGeom>
                    <a:noFill/>
                    <a:ln w="9525">
                      <a:noFill/>
                      <a:headEnd/>
                      <a:tailEnd/>
                    </a:ln>
                  </pic:spPr>
                </pic:pic>
              </a:graphicData>
            </a:graphic>
          </wp:inline>
        </w:drawing>
      </w:r>
    </w:p>
    <w:p>
      <w:pPr>
        <w:pStyle w:val="ImageCaption"/>
      </w:pPr>
      <w:r>
        <w:t xml:space="preserve">图11　HSC两方法五种子ARI与NMImax。</w:t>
      </w:r>
    </w:p>
    <w:p>
      <w:pPr>
        <w:pStyle w:val="BodyText"/>
      </w:pPr>
      <w:r>
        <w:rPr>
          <w:b/>
          <w:bCs/>
        </w:rPr>
        <w:t xml:space="preserve">表3　HSC结果的中位数汇总</w:t>
      </w:r>
    </w:p>
    <w:tbl>
      <w:tblPr>
        <w:tblStyle w:val="Table"/>
        <w:tblW w:type="auto" w:w="0"/>
        <w:jc w:val="left"/>
        <w:tblLayout w:type="fixed"/>
        <w:tblLook w:firstRow="1" w:lastRow="0" w:firstColumn="0" w:lastColumn="0" w:noHBand="0" w:noVBand="0" w:val="0020"/>
      </w:tblPr>
      <w:tblGrid>
        <w:gridCol w:w="3024"/>
        <w:gridCol w:w="3024"/>
        <w:gridCol w:w="3024"/>
      </w:tblGrid>
      <w:tr>
        <w:trPr>
          <w:tblHeader w:val="on"/>
          <w:cantSplit/>
          <w:tblHeader/>
        </w:trPr>
        <w:tc>
          <w:tcPr/>
          <w:p>
            <w:pPr>
              <w:pStyle w:val="Compact"/>
              <w:spacing w:after="40" w:line="264" w:lineRule="auto"/>
              <w:jc w:val="left"/>
            </w:pPr>
            <w:r>
              <w:rPr>
                <w:sz w:val="17"/>
              </w:rPr>
              <w:t xml:space="preserve">指标</w:t>
            </w:r>
          </w:p>
        </w:tc>
        <w:tc>
          <w:tcPr/>
          <w:p>
            <w:pPr>
              <w:pStyle w:val="Compact"/>
              <w:spacing w:after="40" w:line="264" w:lineRule="auto"/>
              <w:jc w:val="right"/>
            </w:pPr>
            <w:r>
              <w:rPr>
                <w:sz w:val="17"/>
              </w:rPr>
              <w:t xml:space="preserve">CAdir</w:t>
            </w:r>
          </w:p>
        </w:tc>
        <w:tc>
          <w:tcPr/>
          <w:p>
            <w:pPr>
              <w:pStyle w:val="Compact"/>
              <w:spacing w:after="40" w:line="264" w:lineRule="auto"/>
              <w:jc w:val="right"/>
            </w:pPr>
            <w:r>
              <w:rPr>
                <w:sz w:val="17"/>
              </w:rPr>
              <w:t xml:space="preserve">PCA＋SNN＋Louvain</w:t>
            </w:r>
          </w:p>
        </w:tc>
      </w:tr>
      <w:tr>
        <w:trPr>
          <w:cantSplit/>
        </w:trPr>
        <w:tc>
          <w:tcPr/>
          <w:p>
            <w:pPr>
              <w:pStyle w:val="Compact"/>
              <w:spacing w:after="40" w:line="264" w:lineRule="auto"/>
              <w:jc w:val="left"/>
            </w:pPr>
            <w:r>
              <w:rPr>
                <w:sz w:val="17"/>
              </w:rPr>
              <w:t xml:space="preserve">ARI</w:t>
            </w:r>
          </w:p>
        </w:tc>
        <w:tc>
          <w:tcPr/>
          <w:p>
            <w:pPr>
              <w:pStyle w:val="Compact"/>
              <w:spacing w:after="40" w:line="264" w:lineRule="auto"/>
              <w:jc w:val="right"/>
            </w:pPr>
            <w:r>
              <w:rPr>
                <w:sz w:val="17"/>
              </w:rPr>
              <w:t xml:space="preserve">0.291506398370853</w:t>
            </w:r>
          </w:p>
        </w:tc>
        <w:tc>
          <w:tcPr/>
          <w:p>
            <w:pPr>
              <w:pStyle w:val="Compact"/>
              <w:spacing w:after="40" w:line="264" w:lineRule="auto"/>
              <w:jc w:val="right"/>
            </w:pPr>
            <w:r>
              <w:rPr>
                <w:sz w:val="17"/>
              </w:rPr>
              <w:t xml:space="preserve">0.269345381294258</w:t>
            </w:r>
          </w:p>
        </w:tc>
      </w:tr>
      <w:tr>
        <w:trPr>
          <w:cantSplit/>
        </w:trPr>
        <w:tc>
          <w:tcPr/>
          <w:p>
            <w:pPr>
              <w:pStyle w:val="Compact"/>
              <w:spacing w:after="40" w:line="264" w:lineRule="auto"/>
              <w:jc w:val="left"/>
            </w:pPr>
            <w:r>
              <w:rPr>
                <w:sz w:val="17"/>
              </w:rPr>
              <w:t xml:space="preserve">NMImax</w:t>
            </w:r>
          </w:p>
        </w:tc>
        <w:tc>
          <w:tcPr/>
          <w:p>
            <w:pPr>
              <w:pStyle w:val="Compact"/>
              <w:spacing w:after="40" w:line="264" w:lineRule="auto"/>
              <w:jc w:val="right"/>
            </w:pPr>
            <w:r>
              <w:rPr>
                <w:sz w:val="17"/>
              </w:rPr>
              <w:t xml:space="preserve">0.343414049181671</w:t>
            </w:r>
          </w:p>
        </w:tc>
        <w:tc>
          <w:tcPr/>
          <w:p>
            <w:pPr>
              <w:pStyle w:val="Compact"/>
              <w:spacing w:after="40" w:line="264" w:lineRule="auto"/>
              <w:jc w:val="right"/>
            </w:pPr>
            <w:r>
              <w:rPr>
                <w:sz w:val="17"/>
              </w:rPr>
              <w:t xml:space="preserve">0.356463934525198</w:t>
            </w:r>
          </w:p>
        </w:tc>
      </w:tr>
      <w:tr>
        <w:trPr>
          <w:cantSplit/>
        </w:trPr>
        <w:tc>
          <w:tcPr/>
          <w:p>
            <w:pPr>
              <w:pStyle w:val="Compact"/>
              <w:spacing w:after="40" w:line="264" w:lineRule="auto"/>
              <w:jc w:val="left"/>
            </w:pPr>
            <w:r>
              <w:rPr>
                <w:sz w:val="17"/>
              </w:rPr>
              <w:t xml:space="preserve">核心耗时／秒</w:t>
            </w:r>
          </w:p>
        </w:tc>
        <w:tc>
          <w:tcPr/>
          <w:p>
            <w:pPr>
              <w:pStyle w:val="Compact"/>
              <w:spacing w:after="40" w:line="264" w:lineRule="auto"/>
              <w:jc w:val="right"/>
            </w:pPr>
            <w:r>
              <w:rPr>
                <w:sz w:val="17"/>
              </w:rPr>
              <w:t xml:space="preserve">13.321</w:t>
            </w:r>
          </w:p>
        </w:tc>
        <w:tc>
          <w:tcPr/>
          <w:p>
            <w:pPr>
              <w:pStyle w:val="Compact"/>
              <w:spacing w:after="40" w:line="264" w:lineRule="auto"/>
              <w:jc w:val="right"/>
            </w:pPr>
            <w:r>
              <w:rPr>
                <w:sz w:val="17"/>
              </w:rPr>
              <w:t xml:space="preserve">5.331</w:t>
            </w:r>
          </w:p>
        </w:tc>
      </w:tr>
      <w:tr>
        <w:trPr>
          <w:cantSplit/>
        </w:trPr>
        <w:tc>
          <w:tcPr/>
          <w:p>
            <w:pPr>
              <w:pStyle w:val="Compact"/>
              <w:spacing w:after="40" w:line="264" w:lineRule="auto"/>
              <w:jc w:val="left"/>
            </w:pPr>
            <w:r>
              <w:rPr>
                <w:sz w:val="17"/>
              </w:rPr>
              <w:t xml:space="preserve">最终簇数</w:t>
            </w:r>
          </w:p>
        </w:tc>
        <w:tc>
          <w:tcPr/>
          <w:p>
            <w:pPr>
              <w:pStyle w:val="Compact"/>
              <w:spacing w:after="40" w:line="264" w:lineRule="auto"/>
              <w:jc w:val="right"/>
            </w:pPr>
            <w:r>
              <w:rPr>
                <w:sz w:val="17"/>
              </w:rPr>
              <w:t xml:space="preserve">9—11</w:t>
            </w:r>
          </w:p>
        </w:tc>
        <w:tc>
          <w:tcPr/>
          <w:p>
            <w:pPr>
              <w:pStyle w:val="Compact"/>
              <w:spacing w:after="40" w:line="264" w:lineRule="auto"/>
              <w:jc w:val="right"/>
            </w:pPr>
            <w:r>
              <w:rPr>
                <w:sz w:val="17"/>
              </w:rPr>
              <w:t xml:space="preserve">7</w:t>
            </w:r>
          </w:p>
        </w:tc>
      </w:tr>
      <w:tr>
        <w:trPr>
          <w:cantSplit/>
        </w:trPr>
        <w:tc>
          <w:tcPr/>
          <w:p>
            <w:pPr>
              <w:pStyle w:val="Compact"/>
              <w:spacing w:after="40" w:line="264" w:lineRule="auto"/>
              <w:jc w:val="left"/>
            </w:pPr>
            <w:r>
              <w:rPr>
                <w:sz w:val="17"/>
              </w:rPr>
              <w:t xml:space="preserve">成功运行</w:t>
            </w:r>
          </w:p>
        </w:tc>
        <w:tc>
          <w:tcPr/>
          <w:p>
            <w:pPr>
              <w:pStyle w:val="Compact"/>
              <w:spacing w:after="40" w:line="264" w:lineRule="auto"/>
              <w:jc w:val="right"/>
            </w:pPr>
            <w:r>
              <w:rPr>
                <w:sz w:val="17"/>
              </w:rPr>
              <w:t xml:space="preserve">5／5</w:t>
            </w:r>
          </w:p>
        </w:tc>
        <w:tc>
          <w:tcPr/>
          <w:p>
            <w:pPr>
              <w:pStyle w:val="Compact"/>
              <w:spacing w:after="40" w:line="264" w:lineRule="auto"/>
              <w:jc w:val="right"/>
            </w:pPr>
            <w:r>
              <w:rPr>
                <w:sz w:val="17"/>
              </w:rPr>
              <w:t xml:space="preserve">5／5</w:t>
            </w:r>
          </w:p>
        </w:tc>
      </w:tr>
    </w:tbl>
    <w:p>
      <w:pPr>
        <w:pStyle w:val="BodyText"/>
      </w:pPr>
      <w:r>
        <w:t xml:space="preserve">核心耗时分别记录CA＋方向聚类和PCA＋rank-SNN＋Louvain，输出序列化与额外基因排名在各自记录中单独计时。</w:t>
      </w:r>
    </w:p>
    <w:bookmarkEnd w:id="92"/>
    <w:bookmarkStart w:id="99" w:name="结果解释"/>
    <w:p>
      <w:pPr>
        <w:pStyle w:val="Heading2"/>
      </w:pPr>
      <w:r>
        <w:t xml:space="preserve">7.3 结果解释</w:t>
      </w:r>
    </w:p>
    <w:p>
      <w:pPr>
        <w:pStyle w:val="FirstParagraph"/>
      </w:pPr>
      <w:r>
        <w:t xml:space="preserve">CAdir的ARI中位数比基线高0.022161，NMImax中位数低0.013050。ARI从细胞对是否共同分组衡量一致性，并校正随机期望；NMImax以共享信息相对于较大分区熵归一化。CAdir产生9—11簇，基线产生7簇，聚类粒度与参考类别分布共同影响这两种度量，因而呈现不同排序。</w:t>
      </w:r>
    </w:p>
    <w:p>
      <w:pPr>
        <w:pStyle w:val="BodyText"/>
      </w:pPr>
      <w:r>
        <w:t xml:space="preserve">以预定种子2358为展示例，图12、13分别给出两种方法各簇的参考类别组成。它们配合完整列联表说明，整体指标背后同时存在单一类别占比较高的簇及包含多个参考类别的簇。五个种子提供计算初始化变化下的描述，所有种子均进入汇总。</w:t>
      </w:r>
    </w:p>
    <w:p>
      <w:pPr>
        <w:pStyle w:val="CaptionedFigure"/>
        <w:keepNext/>
        <w:keepLines/>
        <w:jc w:val="center"/>
      </w:pPr>
      <w:r>
        <w:drawing>
          <wp:inline>
            <wp:extent cx="5465445" cy="3558611"/>
            <wp:effectExtent b="0" l="0" r="0" t="0"/>
            <wp:docPr descr="图12　HSC CAdir种子2358的簇内参考组成。" title="" id="94" name="Picture"/>
            <a:graphic>
              <a:graphicData uri="http://schemas.openxmlformats.org/drawingml/2006/picture">
                <pic:pic>
                  <pic:nvPicPr>
                    <pic:cNvPr descr="assets/HSC_02-cadir-seed2358-reference-share.png" id="95" name="Picture"/>
                    <pic:cNvPicPr>
                      <a:picLocks noChangeArrowheads="1" noChangeAspect="1"/>
                    </pic:cNvPicPr>
                  </pic:nvPicPr>
                  <pic:blipFill>
                    <a:blip r:embed="rId93"/>
                    <a:stretch>
                      <a:fillRect/>
                    </a:stretch>
                  </pic:blipFill>
                  <pic:spPr bwMode="auto">
                    <a:xfrm>
                      <a:off x="0" y="0"/>
                      <a:ext cx="5465445" cy="3558611"/>
                    </a:xfrm>
                    <a:prstGeom prst="rect">
                      <a:avLst/>
                    </a:prstGeom>
                    <a:noFill/>
                    <a:ln w="9525">
                      <a:noFill/>
                      <a:headEnd/>
                      <a:tailEnd/>
                    </a:ln>
                  </pic:spPr>
                </pic:pic>
              </a:graphicData>
            </a:graphic>
          </wp:inline>
        </w:drawing>
      </w:r>
    </w:p>
    <w:p>
      <w:pPr>
        <w:pStyle w:val="ImageCaption"/>
      </w:pPr>
      <w:r>
        <w:t xml:space="preserve">图12　HSC CAdir种子2358的簇内参考组成。</w:t>
      </w:r>
    </w:p>
    <w:p>
      <w:pPr>
        <w:pStyle w:val="CaptionedFigure"/>
        <w:keepNext/>
        <w:keepLines/>
        <w:jc w:val="center"/>
      </w:pPr>
      <w:r>
        <w:drawing>
          <wp:inline>
            <wp:extent cx="5465445" cy="3036358"/>
            <wp:effectExtent b="0" l="0" r="0" t="0"/>
            <wp:docPr descr="图13　HSC基线种子2358的簇内参考组成。" title="" id="97" name="Picture"/>
            <a:graphic>
              <a:graphicData uri="http://schemas.openxmlformats.org/drawingml/2006/picture">
                <pic:pic>
                  <pic:nvPicPr>
                    <pic:cNvPr descr="assets/HSC_02-pca_snn_louvain-seed2358-reference-share.png" id="98" name="Picture"/>
                    <pic:cNvPicPr>
                      <a:picLocks noChangeArrowheads="1" noChangeAspect="1"/>
                    </pic:cNvPicPr>
                  </pic:nvPicPr>
                  <pic:blipFill>
                    <a:blip r:embed="rId96"/>
                    <a:stretch>
                      <a:fillRect/>
                    </a:stretch>
                  </pic:blipFill>
                  <pic:spPr bwMode="auto">
                    <a:xfrm>
                      <a:off x="0" y="0"/>
                      <a:ext cx="5465445" cy="3036358"/>
                    </a:xfrm>
                    <a:prstGeom prst="rect">
                      <a:avLst/>
                    </a:prstGeom>
                    <a:noFill/>
                    <a:ln w="9525">
                      <a:noFill/>
                      <a:headEnd/>
                      <a:tailEnd/>
                    </a:ln>
                  </pic:spPr>
                </pic:pic>
              </a:graphicData>
            </a:graphic>
          </wp:inline>
        </w:drawing>
      </w:r>
    </w:p>
    <w:p>
      <w:pPr>
        <w:pStyle w:val="ImageCaption"/>
      </w:pPr>
      <w:r>
        <w:t xml:space="preserve">图13　HSC基线种子2358的簇内参考组成。</w:t>
      </w:r>
    </w:p>
    <w:p>
      <w:pPr>
        <w:pStyle w:val="BodyText"/>
      </w:pPr>
      <w:r>
        <w:t xml:space="preserve">HSC结果的独立检查重新计算了十次指标，并检查保存对象、输入ID、输出完整性及主要图表。最大数值差异处于浮点舍入量级。</w:t>
      </w:r>
    </w:p>
    <w:bookmarkEnd w:id="99"/>
    <w:bookmarkEnd w:id="100"/>
    <w:bookmarkStart w:id="105" w:name="综合讨论与实验体会"/>
    <w:p>
      <w:pPr>
        <w:pStyle w:val="Heading1"/>
      </w:pPr>
      <w:r>
        <w:t xml:space="preserve">8 综合讨论与实验体会</w:t>
      </w:r>
    </w:p>
    <w:bookmarkStart w:id="101" w:name="原论文案例与新数据之间的联系"/>
    <w:p>
      <w:pPr>
        <w:pStyle w:val="Heading2"/>
      </w:pPr>
      <w:r>
        <w:t xml:space="preserve">8.1 原论文案例与新数据之间的联系</w:t>
      </w:r>
    </w:p>
    <w:p>
      <w:pPr>
        <w:pStyle w:val="FirstParagraph"/>
      </w:pPr>
      <w:r>
        <w:t xml:space="preserve">LM以组织类型相对明确的参考标签展示CAdir的联合输出：细胞簇、关联基因、自动名称及方向关系。HSC以造血干／祖细胞免疫表型标签开展方法比较，呈现出更细的预测分区和较低的参考一致性指标。两组实验分别回答“原案例怎样实现并解释”和“共享新输入下方法表现怎样”的问题。</w:t>
      </w:r>
    </w:p>
    <w:p>
      <w:pPr>
        <w:pStyle w:val="BodyText"/>
      </w:pPr>
      <w:r>
        <w:t xml:space="preserve">LM的ARI为0.669519、HSC的CAdir中位ARI为0.291506。这些数值对应各自数据、标签和实际运行环境。LM的参考包含肌肉、间充质及免疫细胞，HSC的参考围绕造血干／祖细胞分化。比较结果时，应结合各自标签粒度、分区规模及几何展示解释。HSC同队列两方法对照提供了评价算法相对表现的直接依据。</w:t>
      </w:r>
    </w:p>
    <w:bookmarkEnd w:id="101"/>
    <w:bookmarkStart w:id="102" w:name="联合聚类的解释价值"/>
    <w:p>
      <w:pPr>
        <w:pStyle w:val="Heading2"/>
      </w:pPr>
      <w:r>
        <w:t xml:space="preserve">8.2 联合聚类的解释价值</w:t>
      </w:r>
    </w:p>
    <w:p>
      <w:pPr>
        <w:pStyle w:val="FirstParagraph"/>
      </w:pPr>
      <w:r>
        <w:t xml:space="preserve">CAdir的价值体现在输出之间的连接。一个细胞方向对应一个分组，该分组关联一组基因，基因可按</w:t>
      </w:r>
      <m:oMath>
        <m:sSub>
          <m:e>
            <m:r>
              <m:t>S</m:t>
            </m:r>
          </m:e>
          <m:sub>
            <m:r>
              <m:t>α</m:t>
            </m:r>
          </m:sub>
        </m:sSub>
      </m:oMath>
      <w:r>
        <w:t xml:space="preserve">排序并参与富集，关联图显示聚类与基因的几何关系。LM的九图从单簇、簇间、历史和参考对应四个角度解释同一批对象，使读者可以逐层追踪结论。</w:t>
      </w:r>
    </w:p>
    <w:p>
      <w:pPr>
        <w:pStyle w:val="BodyText"/>
      </w:pPr>
      <w:r>
        <w:t xml:space="preserve">图中名称按其生成方式解读：CellMarker提供GOA自动预测，原参考提供标签对应。内皮方向展示了自动注释在原参考粗类别内部给出的细分；B簇的混合参考组成展示了基因预测名与细胞标签之间的实际关系。保留这些结果有助于理解方法在不同信息来源下的表现。</w:t>
      </w:r>
    </w:p>
    <w:bookmarkEnd w:id="102"/>
    <w:bookmarkStart w:id="103" w:name="指标与可视化的互补"/>
    <w:p>
      <w:pPr>
        <w:pStyle w:val="Heading2"/>
      </w:pPr>
      <w:r>
        <w:t xml:space="preserve">8.3 指标与可视化的互补</w:t>
      </w:r>
    </w:p>
    <w:p>
      <w:pPr>
        <w:pStyle w:val="FirstParagraph"/>
      </w:pPr>
      <w:r>
        <w:t xml:space="preserve">ARI和NMI给出总体一致性，而关联图、方向角、流量和列联表定位具体差异。HSC中指标的不同排序说明，同时呈现两项评价能够提供更完整的描述。LM中巨噬细胞簇参考重叠较高，而B预测簇含有较多lymphocyte参考，进一步说明总体分数由不同局部结构共同构成。</w:t>
      </w:r>
    </w:p>
    <w:bookmarkEnd w:id="103"/>
    <w:bookmarkStart w:id="104" w:name="可重复计算与调试经验"/>
    <w:p>
      <w:pPr>
        <w:pStyle w:val="Heading2"/>
      </w:pPr>
      <w:r>
        <w:t xml:space="preserve">8.4 可重复计算与调试经验</w:t>
      </w:r>
    </w:p>
    <w:p>
      <w:pPr>
        <w:pStyle w:val="FirstParagraph"/>
      </w:pPr>
      <w:r>
        <w:t xml:space="preserve">本次实验将输入文件哈希、明确ID、有效配置、实际CA对象、RNG、alpha与完整排名共同保存。基底符号问题的排查通过实际CA轴及排名变化得到解释，形成了固定／对齐基底下的排名重放方法。图表从保存对象生成，使数值计算、图形展示和版式修复各有明确输入。</w:t>
      </w:r>
    </w:p>
    <w:p>
      <w:pPr>
        <w:pStyle w:val="BodyText"/>
      </w:pPr>
      <w:r>
        <w:t xml:space="preserve">实践中，脚本入口的Python层管理文件和状态，R层负责科学计算，JSON及TSV连接配置、指标和图表。按层保存对象及日志，使环境调试、数值检查和结果解释能够对应到具体阶段。独立数值复核则为图形和汇总指标提供了计算证据。</w:t>
      </w:r>
    </w:p>
    <w:bookmarkEnd w:id="104"/>
    <w:bookmarkEnd w:id="105"/>
    <w:bookmarkStart w:id="106" w:name="结论"/>
    <w:p>
      <w:pPr>
        <w:pStyle w:val="Heading1"/>
      </w:pPr>
      <w:r>
        <w:t xml:space="preserve">9 结论</w:t>
      </w:r>
    </w:p>
    <w:p>
      <w:pPr>
        <w:pStyle w:val="FirstParagraph"/>
      </w:pPr>
      <w:r>
        <w:t xml:space="preserve">本文完成了CAdir的LM原论文案例分析和HSC新数据对照实验。LM使用1882个细胞和6000个高变基因，得到7个细胞簇、1200个已分配基因，ARI为0.669519、NMImax为0.741885，完成原论文Fig3及关联S1的九项分析，核心汇总与作者公开运行记录对应。HSC采用共同QC、归一化、特征与评价集合，完成两方法各五种子实验，CAdir表现为ARI较高、NMImax较低及较细的预测分区。</w:t>
      </w:r>
    </w:p>
    <w:p>
      <w:pPr>
        <w:pStyle w:val="BodyText"/>
      </w:pPr>
      <w:r>
        <w:t xml:space="preserve">方法分析与代码分析说明，CA提供细胞与基因的关联表示，方向分配与总最小二乘更新产生细胞分组，拆分合并调整簇数，基因排名与GOA连接分组和解释。实际对象、完整表格、九图、对照结果与独立检查记录共同构成了本报告的实验依据。</w:t>
      </w:r>
    </w:p>
    <w:bookmarkEnd w:id="106"/>
    <w:bookmarkStart w:id="114" w:name="参考文献"/>
    <w:p>
      <w:pPr>
        <w:pStyle w:val="Heading1"/>
      </w:pPr>
      <w:r>
        <w:t xml:space="preserve">参考文献</w:t>
      </w:r>
    </w:p>
    <w:p>
      <w:pPr>
        <w:pStyle w:val="FirstParagraph"/>
      </w:pPr>
      <w:r>
        <w:t xml:space="preserve">[1] Kohl C, Vingron M. CAdir: Joint clustering of cells and genes for single-cell transcriptomics with visualization-driven cluster quality assessment. PLOS Computational Biology, 2026, 22(6): e1014418. DOI:</w:t>
      </w:r>
      <w:r>
        <w:t xml:space="preserve"> </w:t>
      </w:r>
      <w:hyperlink r:id="rId107">
        <w:r>
          <w:rPr>
            <w:rStyle w:val="Hyperlink"/>
          </w:rPr>
          <w:t xml:space="preserve">10.1371/journal.pcbi.1014418</w:t>
        </w:r>
      </w:hyperlink>
      <w:r>
        <w:t xml:space="preserve">.</w:t>
      </w:r>
    </w:p>
    <w:p>
      <w:pPr>
        <w:pStyle w:val="BodyText"/>
      </w:pPr>
      <w:r>
        <w:t xml:space="preserve">[2] The Tabula Muris Consortium. Single-cell transcriptomics of 20 mouse organs creates a Tabula Muris. Nature, 2018, 562: 367–372. DOI:</w:t>
      </w:r>
      <w:r>
        <w:t xml:space="preserve"> </w:t>
      </w:r>
      <w:hyperlink r:id="rId108">
        <w:r>
          <w:rPr>
            <w:rStyle w:val="Hyperlink"/>
          </w:rPr>
          <w:t xml:space="preserve">10.1038/s41586-018-0590-4</w:t>
        </w:r>
      </w:hyperlink>
      <w:r>
        <w:t xml:space="preserve">.</w:t>
      </w:r>
    </w:p>
    <w:p>
      <w:pPr>
        <w:pStyle w:val="BodyText"/>
      </w:pPr>
      <w:r>
        <w:t xml:space="preserve">[3] Nestorowa S, Hamey F K, Pijuan Sala B, et al. A single-cell resolution map of mouse hematopoietic stem and progenitor cell differentiation. Blood, 2016, 128(8): e20–e31. DOI:</w:t>
      </w:r>
      <w:r>
        <w:t xml:space="preserve"> </w:t>
      </w:r>
      <w:hyperlink r:id="rId109">
        <w:r>
          <w:rPr>
            <w:rStyle w:val="Hyperlink"/>
          </w:rPr>
          <w:t xml:space="preserve">10.1182/blood-2016-05-716480</w:t>
        </w:r>
      </w:hyperlink>
      <w:r>
        <w:t xml:space="preserve">.</w:t>
      </w:r>
    </w:p>
    <w:p>
      <w:pPr>
        <w:pStyle w:val="BodyText"/>
      </w:pPr>
      <w:r>
        <w:t xml:space="preserve">[4] Huber W, Carey V J, Gentleman R, et al. Orchestrating high-throughput genomic analysis with Bioconductor. Nature Methods, 2015, 12: 115–121. DOI:</w:t>
      </w:r>
      <w:r>
        <w:t xml:space="preserve"> </w:t>
      </w:r>
      <w:hyperlink r:id="rId110">
        <w:r>
          <w:rPr>
            <w:rStyle w:val="Hyperlink"/>
          </w:rPr>
          <w:t xml:space="preserve">10.1038/nmeth.3252</w:t>
        </w:r>
      </w:hyperlink>
      <w:r>
        <w:t xml:space="preserve">.</w:t>
      </w:r>
    </w:p>
    <w:p>
      <w:pPr>
        <w:pStyle w:val="BodyText"/>
      </w:pPr>
      <w:r>
        <w:t xml:space="preserve">[5] Lun A T L, McCarthy D J, Marioni J C. A step-by-step workflow for low-level analysis of single-cell RNA-seq data with Bioconductor. F1000Research, 2016, 5: 2122.</w:t>
      </w:r>
      <w:r>
        <w:t xml:space="preserve"> </w:t>
      </w:r>
      <w:hyperlink r:id="rId111">
        <w:r>
          <w:rPr>
            <w:rStyle w:val="Hyperlink"/>
          </w:rPr>
          <w:t xml:space="preserve">PubMed记录</w:t>
        </w:r>
      </w:hyperlink>
      <w:r>
        <w:t xml:space="preserve">.</w:t>
      </w:r>
    </w:p>
    <w:p>
      <w:pPr>
        <w:pStyle w:val="BodyText"/>
      </w:pPr>
      <w:r>
        <w:t xml:space="preserve">[6] Blondel V D, Guillaume J L, Lambiotte R, Lefebvre E. Fast unfolding of communities in large networks. Journal of Statistical Mechanics: Theory and Experiment, 2008, 2008(10): P10008. DOI:</w:t>
      </w:r>
      <w:r>
        <w:t xml:space="preserve"> </w:t>
      </w:r>
      <w:hyperlink r:id="rId112">
        <w:r>
          <w:rPr>
            <w:rStyle w:val="Hyperlink"/>
          </w:rPr>
          <w:t xml:space="preserve">10.1088/1742-5468/2008/10/P10008</w:t>
        </w:r>
      </w:hyperlink>
      <w:r>
        <w:t xml:space="preserve">.</w:t>
      </w:r>
    </w:p>
    <w:p>
      <w:pPr>
        <w:pStyle w:val="BodyText"/>
      </w:pPr>
      <w:r>
        <w:t xml:space="preserve">[7] Hubert L, Arabie P. Comparing partitions. Journal of Classification, 1985, 2: 193–218. DOI:</w:t>
      </w:r>
      <w:r>
        <w:t xml:space="preserve"> </w:t>
      </w:r>
      <w:hyperlink r:id="rId113">
        <w:r>
          <w:rPr>
            <w:rStyle w:val="Hyperlink"/>
          </w:rPr>
          <w:t xml:space="preserve">10.1007/BF01908075</w:t>
        </w:r>
      </w:hyperlink>
      <w:r>
        <w:t xml:space="preserve">.</w:t>
      </w:r>
    </w:p>
    <w:bookmarkEnd w:id="114"/>
    <w:bookmarkStart w:id="124" w:name="附录a-源码数据与固定成果"/>
    <w:p>
      <w:pPr>
        <w:pStyle w:val="Heading1"/>
      </w:pPr>
      <w:r>
        <w:t xml:space="preserve">附录A 源码、数据与固定成果</w:t>
      </w:r>
    </w:p>
    <w:bookmarkStart w:id="119" w:name="a.1-源码地址"/>
    <w:p>
      <w:pPr>
        <w:pStyle w:val="Heading2"/>
      </w:pPr>
      <w:r>
        <w:t xml:space="preserve">A.1 源码地址</w:t>
      </w:r>
    </w:p>
    <w:p>
      <w:pPr>
        <w:pStyle w:val="Compact"/>
        <w:numPr>
          <w:ilvl w:val="0"/>
          <w:numId w:val="1001"/>
        </w:numPr>
      </w:pPr>
      <w:r>
        <w:t xml:space="preserve">项目源码：</w:t>
      </w:r>
      <w:hyperlink r:id="rId115">
        <w:r>
          <w:rPr>
            <w:rStyle w:val="Hyperlink"/>
          </w:rPr>
          <w:t xml:space="preserve">Yang2Krown/cadir-research-training</w:t>
        </w:r>
      </w:hyperlink>
      <w:r>
        <w:t xml:space="preserve">。</w:t>
      </w:r>
    </w:p>
    <w:p>
      <w:pPr>
        <w:pStyle w:val="Compact"/>
        <w:numPr>
          <w:ilvl w:val="0"/>
          <w:numId w:val="1001"/>
        </w:numPr>
      </w:pPr>
      <w:r>
        <w:t xml:space="preserve">作者分析代码：</w:t>
      </w:r>
      <w:hyperlink r:id="rId116">
        <w:r>
          <w:rPr>
            <w:rStyle w:val="Hyperlink"/>
          </w:rPr>
          <w:t xml:space="preserve">VingronLab/CAdir_results</w:t>
        </w:r>
      </w:hyperlink>
      <w:r>
        <w:t xml:space="preserve">。</w:t>
      </w:r>
    </w:p>
    <w:p>
      <w:pPr>
        <w:pStyle w:val="Compact"/>
        <w:numPr>
          <w:ilvl w:val="0"/>
          <w:numId w:val="1001"/>
        </w:numPr>
      </w:pPr>
      <w:r>
        <w:t xml:space="preserve">CAdir计算包：</w:t>
      </w:r>
      <w:hyperlink r:id="rId117">
        <w:r>
          <w:rPr>
            <w:rStyle w:val="Hyperlink"/>
          </w:rPr>
          <w:t xml:space="preserve">VingronLab/CAdir</w:t>
        </w:r>
      </w:hyperlink>
      <w:r>
        <w:t xml:space="preserve">。</w:t>
      </w:r>
    </w:p>
    <w:p>
      <w:pPr>
        <w:pStyle w:val="Compact"/>
        <w:numPr>
          <w:ilvl w:val="0"/>
          <w:numId w:val="1001"/>
        </w:numPr>
      </w:pPr>
      <w:r>
        <w:t xml:space="preserve">APL计算包：</w:t>
      </w:r>
      <w:hyperlink r:id="rId118">
        <w:r>
          <w:rPr>
            <w:rStyle w:val="Hyperlink"/>
          </w:rPr>
          <w:t xml:space="preserve">VingronLab/APL</w:t>
        </w:r>
      </w:hyperlink>
      <w:r>
        <w:t xml:space="preserve">。</w:t>
      </w:r>
    </w:p>
    <w:bookmarkEnd w:id="119"/>
    <w:bookmarkStart w:id="122" w:name="a.2-数据地址"/>
    <w:p>
      <w:pPr>
        <w:pStyle w:val="Heading2"/>
      </w:pPr>
      <w:r>
        <w:t xml:space="preserve">A.2 数据地址</w:t>
      </w:r>
    </w:p>
    <w:p>
      <w:pPr>
        <w:pStyle w:val="Compact"/>
        <w:numPr>
          <w:ilvl w:val="0"/>
          <w:numId w:val="1002"/>
        </w:numPr>
      </w:pPr>
      <w:r>
        <w:t xml:space="preserve">Tabula Muris研究：</w:t>
      </w:r>
      <w:hyperlink r:id="rId120">
        <w:r>
          <w:rPr>
            <w:rStyle w:val="Hyperlink"/>
          </w:rPr>
          <w:t xml:space="preserve">GEO GSE109774</w:t>
        </w:r>
      </w:hyperlink>
      <w:r>
        <w:t xml:space="preserve">。LM实际输入、SHA256与特征规模见第2.3节。</w:t>
      </w:r>
    </w:p>
    <w:p>
      <w:pPr>
        <w:pStyle w:val="Compact"/>
        <w:numPr>
          <w:ilvl w:val="0"/>
          <w:numId w:val="1002"/>
        </w:numPr>
      </w:pPr>
      <w:r>
        <w:t xml:space="preserve">Nestorowa研究：</w:t>
      </w:r>
      <w:hyperlink r:id="rId121">
        <w:r>
          <w:rPr>
            <w:rStyle w:val="Hyperlink"/>
          </w:rPr>
          <w:t xml:space="preserve">GEO GSE81682</w:t>
        </w:r>
      </w:hyperlink>
      <w:r>
        <w:t xml:space="preserve">。实验读取scRNAseq legacy资源路径，保留原始表达、元数据及共同准备索引。</w:t>
      </w:r>
    </w:p>
    <w:bookmarkEnd w:id="122"/>
    <w:bookmarkStart w:id="123" w:name="a.3-固定成果与独立检查"/>
    <w:p>
      <w:pPr>
        <w:pStyle w:val="Heading2"/>
      </w:pPr>
      <w:r>
        <w:t xml:space="preserve">A.3 固定成果与独立检查</w:t>
      </w:r>
    </w:p>
    <w:tbl>
      <w:tblPr>
        <w:tblStyle w:val="Table"/>
        <w:tblW w:type="auto" w:w="0"/>
        <w:jc w:val="left"/>
        <w:tblLayout w:type="fixed"/>
        <w:tblLook w:firstRow="1" w:lastRow="0" w:firstColumn="0" w:lastColumn="0" w:noHBand="0" w:noVBand="0" w:val="0020"/>
      </w:tblPr>
      <w:tblGrid>
        <w:gridCol w:w="4535"/>
        <w:gridCol w:w="4535"/>
      </w:tblGrid>
      <w:tr>
        <w:trPr>
          <w:tblHeader w:val="on"/>
          <w:cantSplit/>
          <w:tblHeader/>
        </w:trPr>
        <w:tc>
          <w:tcPr/>
          <w:p>
            <w:pPr>
              <w:pStyle w:val="Compact"/>
              <w:spacing w:after="40" w:line="264" w:lineRule="auto"/>
              <w:jc w:val="left"/>
            </w:pPr>
            <w:r>
              <w:rPr>
                <w:sz w:val="17"/>
              </w:rPr>
              <w:t xml:space="preserve">内容</w:t>
            </w:r>
          </w:p>
        </w:tc>
        <w:tc>
          <w:tcPr/>
          <w:p>
            <w:pPr>
              <w:pStyle w:val="Compact"/>
              <w:spacing w:after="40" w:line="264" w:lineRule="auto"/>
              <w:jc w:val="left"/>
            </w:pPr>
            <w:r>
              <w:rPr>
                <w:sz w:val="17"/>
              </w:rPr>
              <w:t xml:space="preserve">固定提交</w:t>
            </w:r>
          </w:p>
        </w:tc>
      </w:tr>
      <w:tr>
        <w:trPr>
          <w:cantSplit/>
        </w:trPr>
        <w:tc>
          <w:tcPr/>
          <w:p>
            <w:pPr>
              <w:pStyle w:val="Compact"/>
              <w:spacing w:after="40" w:line="264" w:lineRule="auto"/>
              <w:jc w:val="left"/>
            </w:pPr>
            <w:r>
              <w:rPr>
                <w:sz w:val="17"/>
              </w:rPr>
              <w:t xml:space="preserve">LM九项分析与图表</w:t>
            </w:r>
          </w:p>
        </w:tc>
        <w:tc>
          <w:tcPr/>
          <w:p>
            <w:pPr>
              <w:pStyle w:val="Compact"/>
              <w:spacing w:after="40" w:line="264" w:lineRule="auto"/>
              <w:jc w:val="left"/>
            </w:pPr>
            <w:r>
              <w:rPr>
                <w:sz w:val="17"/>
              </w:rPr>
              <w:t xml:space="preserve">ab68da7ef154f133ec436275fcf11396f37f884a</w:t>
            </w:r>
          </w:p>
        </w:tc>
      </w:tr>
      <w:tr>
        <w:trPr>
          <w:cantSplit/>
        </w:trPr>
        <w:tc>
          <w:tcPr/>
          <w:p>
            <w:pPr>
              <w:pStyle w:val="Compact"/>
              <w:spacing w:after="40" w:line="264" w:lineRule="auto"/>
              <w:jc w:val="left"/>
            </w:pPr>
            <w:r>
              <w:rPr>
                <w:sz w:val="17"/>
              </w:rPr>
              <w:t xml:space="preserve">LM独立最终检查</w:t>
            </w:r>
          </w:p>
        </w:tc>
        <w:tc>
          <w:tcPr/>
          <w:p>
            <w:pPr>
              <w:pStyle w:val="Compact"/>
              <w:spacing w:after="40" w:line="264" w:lineRule="auto"/>
              <w:jc w:val="left"/>
            </w:pPr>
            <w:r>
              <w:rPr>
                <w:sz w:val="17"/>
              </w:rPr>
              <w:t xml:space="preserve">060e32beb41a65c0ef13553cd9827b2aa95ba12f</w:t>
            </w:r>
          </w:p>
        </w:tc>
      </w:tr>
      <w:tr>
        <w:trPr>
          <w:cantSplit/>
        </w:trPr>
        <w:tc>
          <w:tcPr/>
          <w:p>
            <w:pPr>
              <w:pStyle w:val="Compact"/>
              <w:spacing w:after="40" w:line="264" w:lineRule="auto"/>
              <w:jc w:val="left"/>
            </w:pPr>
            <w:r>
              <w:rPr>
                <w:sz w:val="17"/>
              </w:rPr>
              <w:t xml:space="preserve">HSC正式实现</w:t>
            </w:r>
          </w:p>
        </w:tc>
        <w:tc>
          <w:tcPr/>
          <w:p>
            <w:pPr>
              <w:pStyle w:val="Compact"/>
              <w:spacing w:after="40" w:line="264" w:lineRule="auto"/>
              <w:jc w:val="left"/>
            </w:pPr>
            <w:r>
              <w:rPr>
                <w:sz w:val="17"/>
              </w:rPr>
              <w:t xml:space="preserve">6cc7b3da67c193da11a67c45a75167d6521438b0</w:t>
            </w:r>
          </w:p>
        </w:tc>
      </w:tr>
      <w:tr>
        <w:trPr>
          <w:cantSplit/>
        </w:trPr>
        <w:tc>
          <w:tcPr/>
          <w:p>
            <w:pPr>
              <w:pStyle w:val="Compact"/>
              <w:spacing w:after="40" w:line="264" w:lineRule="auto"/>
              <w:jc w:val="left"/>
            </w:pPr>
            <w:r>
              <w:rPr>
                <w:sz w:val="17"/>
              </w:rPr>
              <w:t xml:space="preserve">HSC正式结果</w:t>
            </w:r>
          </w:p>
        </w:tc>
        <w:tc>
          <w:tcPr/>
          <w:p>
            <w:pPr>
              <w:pStyle w:val="Compact"/>
              <w:spacing w:after="40" w:line="264" w:lineRule="auto"/>
              <w:jc w:val="left"/>
            </w:pPr>
            <w:r>
              <w:rPr>
                <w:sz w:val="17"/>
              </w:rPr>
              <w:t xml:space="preserve">091a8a4585cabc59a5504380398892bac49044f4</w:t>
            </w:r>
          </w:p>
        </w:tc>
      </w:tr>
      <w:tr>
        <w:trPr>
          <w:cantSplit/>
        </w:trPr>
        <w:tc>
          <w:tcPr/>
          <w:p>
            <w:pPr>
              <w:pStyle w:val="Compact"/>
              <w:spacing w:after="40" w:line="264" w:lineRule="auto"/>
              <w:jc w:val="left"/>
            </w:pPr>
            <w:r>
              <w:rPr>
                <w:sz w:val="17"/>
              </w:rPr>
              <w:t xml:space="preserve">HSC独立结果检查</w:t>
            </w:r>
          </w:p>
        </w:tc>
        <w:tc>
          <w:tcPr/>
          <w:p>
            <w:pPr>
              <w:pStyle w:val="Compact"/>
              <w:spacing w:after="40" w:line="264" w:lineRule="auto"/>
              <w:jc w:val="left"/>
            </w:pPr>
            <w:r>
              <w:rPr>
                <w:sz w:val="17"/>
              </w:rPr>
              <w:t xml:space="preserve">b48066cba0bf4cd308f2f75b1134c12f85c576ef</w:t>
            </w:r>
          </w:p>
        </w:tc>
      </w:tr>
      <w:tr>
        <w:trPr>
          <w:cantSplit/>
        </w:trPr>
        <w:tc>
          <w:tcPr/>
          <w:p>
            <w:pPr>
              <w:pStyle w:val="Compact"/>
              <w:spacing w:after="40" w:line="264" w:lineRule="auto"/>
              <w:jc w:val="left"/>
            </w:pPr>
            <w:r>
              <w:rPr>
                <w:sz w:val="17"/>
              </w:rPr>
              <w:t xml:space="preserve">HSC结果交付</w:t>
            </w:r>
          </w:p>
        </w:tc>
        <w:tc>
          <w:tcPr/>
          <w:p>
            <w:pPr>
              <w:pStyle w:val="Compact"/>
              <w:spacing w:after="40" w:line="264" w:lineRule="auto"/>
              <w:jc w:val="left"/>
            </w:pPr>
            <w:r>
              <w:rPr>
                <w:sz w:val="17"/>
              </w:rPr>
              <w:t xml:space="preserve">4277589d24bedc2ae85dfc75296426c56e7679fa</w:t>
            </w:r>
          </w:p>
        </w:tc>
      </w:tr>
    </w:tbl>
    <w:p>
      <w:pPr>
        <w:pStyle w:val="BodyText"/>
      </w:pPr>
      <w:r>
        <w:t xml:space="preserve">LM独立报告保存在</w:t>
      </w:r>
      <w:r>
        <w:rPr>
          <w:rStyle w:val="VerbatimChar"/>
        </w:rPr>
        <w:t xml:space="preserve">project-control/reviews/lm-fig3-20261027/report.md</w:t>
      </w:r>
      <w:r>
        <w:t xml:space="preserve">。HSC独立结论及交付入口保存在</w:t>
      </w:r>
      <w:r>
        <w:rPr>
          <w:rStyle w:val="VerbatimChar"/>
        </w:rPr>
        <w:t xml:space="preserve">project-control/HSC公平实验阶段结论-2026-10-27.md</w:t>
      </w:r>
      <w:r>
        <w:t xml:space="preserve">。本报告图像和原始科学表的文件名、固定提交、大小与SHA256见随附</w:t>
      </w:r>
      <w:r>
        <w:rPr>
          <w:rStyle w:val="VerbatimChar"/>
        </w:rPr>
        <w:t xml:space="preserve">evidence/材料来源索引.json</w:t>
      </w:r>
      <w:r>
        <w:t xml:space="preserve">。</w:t>
      </w:r>
    </w:p>
    <w:bookmarkEnd w:id="123"/>
    <w:bookmarkEnd w:id="124"/>
    <w:bookmarkStart w:id="125" w:name="附录b-代码与输出索引"/>
    <w:p>
      <w:pPr>
        <w:pStyle w:val="Heading1"/>
      </w:pPr>
      <w:r>
        <w:t xml:space="preserve">附录B 代码与输出索引</w:t>
      </w:r>
    </w:p>
    <w:tbl>
      <w:tblPr>
        <w:tblStyle w:val="Table"/>
        <w:tblW w:type="pct" w:w="5000"/>
        <w:jc w:val="left"/>
        <w:tblLayout w:type="fixed"/>
        <w:tblLook w:firstRow="1" w:lastRow="0" w:firstColumn="0" w:lastColumn="0" w:noHBand="0" w:noVBand="0" w:val="0020"/>
      </w:tblPr>
      <w:tblGrid>
        <w:gridCol w:w="3024"/>
        <w:gridCol w:w="3024"/>
        <w:gridCol w:w="3024"/>
      </w:tblGrid>
      <w:tr>
        <w:trPr>
          <w:tblHeader w:val="on"/>
          <w:cantSplit/>
          <w:tblHeader/>
        </w:trPr>
        <w:tc>
          <w:tcPr/>
          <w:p>
            <w:pPr>
              <w:pStyle w:val="Compact"/>
              <w:spacing w:after="40" w:line="264" w:lineRule="auto"/>
              <w:jc w:val="left"/>
            </w:pPr>
            <w:r>
              <w:rPr>
                <w:sz w:val="17"/>
              </w:rPr>
              <w:t xml:space="preserve">模块</w:t>
            </w:r>
          </w:p>
        </w:tc>
        <w:tc>
          <w:tcPr/>
          <w:p>
            <w:pPr>
              <w:pStyle w:val="Compact"/>
              <w:spacing w:after="40" w:line="264" w:lineRule="auto"/>
              <w:jc w:val="left"/>
            </w:pPr>
            <w:r>
              <w:rPr>
                <w:sz w:val="17"/>
              </w:rPr>
              <w:t xml:space="preserve">实际源文件</w:t>
            </w:r>
          </w:p>
        </w:tc>
        <w:tc>
          <w:tcPr/>
          <w:p>
            <w:pPr>
              <w:pStyle w:val="Compact"/>
              <w:spacing w:after="40" w:line="264" w:lineRule="auto"/>
              <w:jc w:val="left"/>
            </w:pPr>
            <w:r>
              <w:rPr>
                <w:sz w:val="17"/>
              </w:rPr>
              <w:t xml:space="preserve">输入与输出</w:t>
            </w:r>
          </w:p>
        </w:tc>
      </w:tr>
      <w:tr>
        <w:trPr>
          <w:cantSplit/>
        </w:trPr>
        <w:tc>
          <w:tcPr/>
          <w:p>
            <w:pPr>
              <w:pStyle w:val="Compact"/>
              <w:spacing w:after="40" w:line="264" w:lineRule="auto"/>
              <w:jc w:val="left"/>
            </w:pPr>
            <w:r>
              <w:rPr>
                <w:sz w:val="17"/>
              </w:rPr>
              <w:t xml:space="preserve">LM运行管理</w:t>
            </w:r>
          </w:p>
        </w:tc>
        <w:tc>
          <w:tcPr/>
          <w:p>
            <w:pPr>
              <w:pStyle w:val="Compact"/>
              <w:spacing w:after="40" w:line="264" w:lineRule="auto"/>
              <w:jc w:val="left"/>
            </w:pPr>
            <w:r>
              <w:rPr>
                <w:sz w:val="17"/>
              </w:rPr>
              <w:t xml:space="preserve">scripts/run_case.py</w:t>
            </w:r>
          </w:p>
        </w:tc>
        <w:tc>
          <w:tcPr/>
          <w:p>
            <w:pPr>
              <w:pStyle w:val="Compact"/>
              <w:spacing w:after="40" w:line="264" w:lineRule="auto"/>
              <w:jc w:val="left"/>
            </w:pPr>
            <w:r>
              <w:rPr>
                <w:sz w:val="17"/>
              </w:rPr>
              <w:t xml:space="preserve">配置与RDS→独立目录、状态及R控制台</w:t>
            </w:r>
          </w:p>
        </w:tc>
      </w:tr>
      <w:tr>
        <w:trPr>
          <w:cantSplit/>
        </w:trPr>
        <w:tc>
          <w:tcPr/>
          <w:p>
            <w:pPr>
              <w:pStyle w:val="Compact"/>
              <w:spacing w:after="40" w:line="264" w:lineRule="auto"/>
              <w:jc w:val="left"/>
            </w:pPr>
            <w:r>
              <w:rPr>
                <w:sz w:val="17"/>
              </w:rPr>
              <w:t xml:space="preserve">LM科学计算</w:t>
            </w:r>
          </w:p>
        </w:tc>
        <w:tc>
          <w:tcPr/>
          <w:p>
            <w:pPr>
              <w:pStyle w:val="Compact"/>
              <w:spacing w:after="40" w:line="264" w:lineRule="auto"/>
              <w:jc w:val="left"/>
            </w:pPr>
            <w:r>
              <w:rPr>
                <w:sz w:val="17"/>
              </w:rPr>
              <w:t xml:space="preserve">scripts/pipeline.R</w:t>
            </w:r>
          </w:p>
        </w:tc>
        <w:tc>
          <w:tcPr/>
          <w:p>
            <w:pPr>
              <w:pStyle w:val="Compact"/>
              <w:spacing w:after="40" w:line="264" w:lineRule="auto"/>
              <w:jc w:val="left"/>
            </w:pPr>
            <w:r>
              <w:rPr>
                <w:sz w:val="17"/>
              </w:rPr>
              <w:t xml:space="preserve">SCE→HVG、CA、CAdir、排名、注释和指标</w:t>
            </w:r>
          </w:p>
        </w:tc>
      </w:tr>
      <w:tr>
        <w:trPr>
          <w:cantSplit/>
        </w:trPr>
        <w:tc>
          <w:tcPr/>
          <w:p>
            <w:pPr>
              <w:pStyle w:val="Compact"/>
              <w:spacing w:after="40" w:line="264" w:lineRule="auto"/>
              <w:jc w:val="left"/>
            </w:pPr>
            <w:r>
              <w:rPr>
                <w:sz w:val="17"/>
              </w:rPr>
              <w:t xml:space="preserve">LM结果检查</w:t>
            </w:r>
          </w:p>
        </w:tc>
        <w:tc>
          <w:tcPr/>
          <w:p>
            <w:pPr>
              <w:pStyle w:val="Compact"/>
              <w:spacing w:after="40" w:line="264" w:lineRule="auto"/>
              <w:jc w:val="left"/>
            </w:pPr>
            <w:r>
              <w:rPr>
                <w:sz w:val="17"/>
              </w:rPr>
              <w:t xml:space="preserve">scripts/verify_results.R</w:t>
            </w:r>
          </w:p>
        </w:tc>
        <w:tc>
          <w:tcPr/>
          <w:p>
            <w:pPr>
              <w:pStyle w:val="Compact"/>
              <w:spacing w:after="40" w:line="264" w:lineRule="auto"/>
              <w:jc w:val="left"/>
            </w:pPr>
            <w:r>
              <w:rPr>
                <w:sz w:val="17"/>
              </w:rPr>
              <w:t xml:space="preserve">实际对象与表→数值检查记录</w:t>
            </w:r>
          </w:p>
        </w:tc>
      </w:tr>
      <w:tr>
        <w:trPr>
          <w:cantSplit/>
        </w:trPr>
        <w:tc>
          <w:tcPr/>
          <w:p>
            <w:pPr>
              <w:pStyle w:val="Compact"/>
              <w:spacing w:after="40" w:line="264" w:lineRule="auto"/>
              <w:jc w:val="left"/>
            </w:pPr>
            <w:r>
              <w:rPr>
                <w:sz w:val="17"/>
              </w:rPr>
              <w:t xml:space="preserve">九图生成</w:t>
            </w:r>
          </w:p>
        </w:tc>
        <w:tc>
          <w:tcPr/>
          <w:p>
            <w:pPr>
              <w:pStyle w:val="Compact"/>
              <w:spacing w:after="40" w:line="264" w:lineRule="auto"/>
              <w:jc w:val="left"/>
            </w:pPr>
            <w:r>
              <w:rPr>
                <w:sz w:val="17"/>
              </w:rPr>
              <w:t xml:space="preserve">fig3_completion/scripts/render_fig3.R</w:t>
            </w:r>
          </w:p>
        </w:tc>
        <w:tc>
          <w:tcPr/>
          <w:p>
            <w:pPr>
              <w:pStyle w:val="Compact"/>
              <w:spacing w:after="40" w:line="264" w:lineRule="auto"/>
              <w:jc w:val="left"/>
            </w:pPr>
            <w:r>
              <w:rPr>
                <w:sz w:val="17"/>
              </w:rPr>
              <w:t xml:space="preserve">保存对象→九图及科学表</w:t>
            </w:r>
          </w:p>
        </w:tc>
      </w:tr>
      <w:tr>
        <w:trPr>
          <w:cantSplit/>
        </w:trPr>
        <w:tc>
          <w:tcPr/>
          <w:p>
            <w:pPr>
              <w:pStyle w:val="Compact"/>
              <w:spacing w:after="40" w:line="264" w:lineRule="auto"/>
              <w:jc w:val="left"/>
            </w:pPr>
            <w:r>
              <w:rPr>
                <w:sz w:val="17"/>
              </w:rPr>
              <w:t xml:space="preserve">图例布局</w:t>
            </w:r>
          </w:p>
        </w:tc>
        <w:tc>
          <w:tcPr/>
          <w:p>
            <w:pPr>
              <w:pStyle w:val="Compact"/>
              <w:spacing w:after="40" w:line="264" w:lineRule="auto"/>
              <w:jc w:val="left"/>
            </w:pPr>
            <w:r>
              <w:rPr>
                <w:sz w:val="17"/>
              </w:rPr>
              <w:t xml:space="preserve">fig3_completion/scripts/repair_s1_legend.R</w:t>
            </w:r>
          </w:p>
        </w:tc>
        <w:tc>
          <w:tcPr/>
          <w:p>
            <w:pPr>
              <w:pStyle w:val="Compact"/>
              <w:spacing w:after="40" w:line="264" w:lineRule="auto"/>
              <w:jc w:val="left"/>
            </w:pPr>
            <w:r>
              <w:rPr>
                <w:sz w:val="17"/>
              </w:rPr>
              <w:t xml:space="preserve">相同对象→S1D/E布局修复</w:t>
            </w:r>
          </w:p>
        </w:tc>
      </w:tr>
      <w:tr>
        <w:trPr>
          <w:cantSplit/>
        </w:trPr>
        <w:tc>
          <w:tcPr/>
          <w:p>
            <w:pPr>
              <w:pStyle w:val="Compact"/>
              <w:spacing w:after="40" w:line="264" w:lineRule="auto"/>
              <w:jc w:val="left"/>
            </w:pPr>
            <w:r>
              <w:rPr>
                <w:sz w:val="17"/>
              </w:rPr>
              <w:t xml:space="preserve">HSC共同准备</w:t>
            </w:r>
          </w:p>
        </w:tc>
        <w:tc>
          <w:tcPr/>
          <w:p>
            <w:pPr>
              <w:pStyle w:val="Compact"/>
              <w:spacing w:after="40" w:line="264" w:lineRule="auto"/>
              <w:jc w:val="left"/>
            </w:pPr>
            <w:r>
              <w:rPr>
                <w:sz w:val="17"/>
              </w:rPr>
              <w:t xml:space="preserve">fair-experiment/scripts/prepare_common.R</w:t>
            </w:r>
          </w:p>
        </w:tc>
        <w:tc>
          <w:tcPr/>
          <w:p>
            <w:pPr>
              <w:pStyle w:val="Compact"/>
              <w:spacing w:after="40" w:line="264" w:lineRule="auto"/>
              <w:jc w:val="left"/>
            </w:pPr>
            <w:r>
              <w:rPr>
                <w:sz w:val="17"/>
              </w:rPr>
              <w:t xml:space="preserve">计数和元数据→QC、共享表达与评价ID</w:t>
            </w:r>
          </w:p>
        </w:tc>
      </w:tr>
      <w:tr>
        <w:trPr>
          <w:cantSplit/>
        </w:trPr>
        <w:tc>
          <w:tcPr/>
          <w:p>
            <w:pPr>
              <w:pStyle w:val="Compact"/>
              <w:spacing w:after="40" w:line="264" w:lineRule="auto"/>
              <w:jc w:val="left"/>
            </w:pPr>
            <w:r>
              <w:rPr>
                <w:sz w:val="17"/>
              </w:rPr>
              <w:t xml:space="preserve">HSC正式运行</w:t>
            </w:r>
          </w:p>
        </w:tc>
        <w:tc>
          <w:tcPr/>
          <w:p>
            <w:pPr>
              <w:pStyle w:val="Compact"/>
              <w:spacing w:after="40" w:line="264" w:lineRule="auto"/>
              <w:jc w:val="left"/>
            </w:pPr>
            <w:r>
              <w:rPr>
                <w:sz w:val="17"/>
              </w:rPr>
              <w:t xml:space="preserve">fair-experiment/scripts/formal_run.R</w:t>
            </w:r>
          </w:p>
        </w:tc>
        <w:tc>
          <w:tcPr/>
          <w:p>
            <w:pPr>
              <w:pStyle w:val="Compact"/>
              <w:spacing w:after="40" w:line="264" w:lineRule="auto"/>
              <w:jc w:val="left"/>
            </w:pPr>
            <w:r>
              <w:rPr>
                <w:sz w:val="17"/>
              </w:rPr>
              <w:t xml:space="preserve">共享表达与种子→CA／PCA、分区和资源</w:t>
            </w:r>
          </w:p>
        </w:tc>
      </w:tr>
      <w:tr>
        <w:trPr>
          <w:cantSplit/>
        </w:trPr>
        <w:tc>
          <w:tcPr/>
          <w:p>
            <w:pPr>
              <w:pStyle w:val="Compact"/>
              <w:spacing w:after="40" w:line="264" w:lineRule="auto"/>
              <w:jc w:val="left"/>
            </w:pPr>
            <w:r>
              <w:rPr>
                <w:sz w:val="17"/>
              </w:rPr>
              <w:t xml:space="preserve">HSC运行管理</w:t>
            </w:r>
          </w:p>
        </w:tc>
        <w:tc>
          <w:tcPr/>
          <w:p>
            <w:pPr>
              <w:pStyle w:val="Compact"/>
              <w:spacing w:after="40" w:line="264" w:lineRule="auto"/>
              <w:jc w:val="left"/>
            </w:pPr>
            <w:r>
              <w:rPr>
                <w:sz w:val="17"/>
              </w:rPr>
              <w:t xml:space="preserve">fair-experiment/scripts/run_experiment.py</w:t>
            </w:r>
          </w:p>
        </w:tc>
        <w:tc>
          <w:tcPr/>
          <w:p>
            <w:pPr>
              <w:pStyle w:val="Compact"/>
              <w:spacing w:after="40" w:line="264" w:lineRule="auto"/>
              <w:jc w:val="left"/>
            </w:pPr>
            <w:r>
              <w:rPr>
                <w:sz w:val="17"/>
              </w:rPr>
              <w:t xml:space="preserve">准入与配置→两方法五种子执行</w:t>
            </w:r>
          </w:p>
        </w:tc>
      </w:tr>
      <w:tr>
        <w:trPr>
          <w:cantSplit/>
        </w:trPr>
        <w:tc>
          <w:tcPr/>
          <w:p>
            <w:pPr>
              <w:pStyle w:val="Compact"/>
              <w:spacing w:after="40" w:line="264" w:lineRule="auto"/>
              <w:jc w:val="left"/>
            </w:pPr>
            <w:r>
              <w:rPr>
                <w:sz w:val="17"/>
              </w:rPr>
              <w:t xml:space="preserve">HSC排名诊断</w:t>
            </w:r>
          </w:p>
        </w:tc>
        <w:tc>
          <w:tcPr/>
          <w:p>
            <w:pPr>
              <w:pStyle w:val="Compact"/>
              <w:spacing w:after="40" w:line="264" w:lineRule="auto"/>
              <w:jc w:val="left"/>
            </w:pPr>
            <w:r>
              <w:rPr>
                <w:sz w:val="17"/>
              </w:rPr>
              <w:t xml:space="preserve">fair-experiment/scripts/rank_diagnostics.R</w:t>
            </w:r>
          </w:p>
        </w:tc>
        <w:tc>
          <w:tcPr/>
          <w:p>
            <w:pPr>
              <w:pStyle w:val="Compact"/>
              <w:spacing w:after="40" w:line="264" w:lineRule="auto"/>
              <w:jc w:val="left"/>
            </w:pPr>
            <w:r>
              <w:rPr>
                <w:sz w:val="17"/>
              </w:rPr>
              <w:t xml:space="preserve">实际CA与CAdir→基因得分及图</w:t>
            </w:r>
          </w:p>
        </w:tc>
      </w:tr>
    </w:tbl>
    <w:p>
      <w:pPr>
        <w:pStyle w:val="BodyText"/>
      </w:pPr>
      <w:r>
        <w:t xml:space="preserve">前五行均相对于</w:t>
      </w:r>
      <w:r>
        <w:rPr>
          <w:rStyle w:val="VerbatimChar"/>
        </w:rPr>
        <w:t xml:space="preserve">cases/tabula_muris_limb/</w:t>
      </w:r>
      <w:r>
        <w:t xml:space="preserve">，后四行相对于</w:t>
      </w:r>
      <w:r>
        <w:rPr>
          <w:rStyle w:val="VerbatimChar"/>
        </w:rPr>
        <w:t xml:space="preserve">cases/nestorowa_hsc/</w:t>
      </w:r>
      <w:r>
        <w:t xml:space="preserve">。本报告的构建脚本还生成按固定源码定位的行号索引，保存为</w:t>
      </w:r>
      <w:r>
        <w:rPr>
          <w:rStyle w:val="VerbatimChar"/>
        </w:rPr>
        <w:t xml:space="preserve">evidence/代码段索引.tsv</w:t>
      </w:r>
      <w:r>
        <w:t xml:space="preserve">。LM导出包括完整细胞分配、完整6000基因分配、1200基因排名、方向向量、角矩阵、参考流量及历史节点／边；HSC导出包括十次分区、指标及共同队列ID。</w:t>
      </w:r>
    </w:p>
    <w:bookmarkEnd w:id="125"/>
    <w:bookmarkStart w:id="126" w:name="附录c-工作记录表"/>
    <w:p>
      <w:pPr>
        <w:pStyle w:val="Heading1"/>
      </w:pPr>
      <w:r>
        <w:t xml:space="preserve">附录C 工作记录表</w:t>
      </w:r>
    </w:p>
    <w:tbl>
      <w:tblPr>
        <w:tblStyle w:val="Table"/>
        <w:tblW w:type="auto" w:w="0"/>
        <w:jc w:val="left"/>
        <w:tblLayout w:type="fixed"/>
        <w:tblLook w:firstRow="1" w:lastRow="0" w:firstColumn="0" w:lastColumn="0" w:noHBand="0" w:noVBand="0" w:val="0020"/>
      </w:tblPr>
      <w:tblGrid>
        <w:gridCol w:w="4535"/>
        <w:gridCol w:w="4535"/>
      </w:tblGrid>
      <w:tr>
        <w:trPr>
          <w:tblHeader w:val="on"/>
          <w:cantSplit/>
          <w:tblHeader/>
        </w:trPr>
        <w:tc>
          <w:tcPr/>
          <w:p>
            <w:pPr>
              <w:pStyle w:val="Compact"/>
              <w:spacing w:after="40" w:line="264" w:lineRule="auto"/>
              <w:jc w:val="left"/>
            </w:pPr>
            <w:r>
              <w:rPr>
                <w:sz w:val="17"/>
              </w:rPr>
              <w:t xml:space="preserve">已完成工作</w:t>
            </w:r>
          </w:p>
        </w:tc>
        <w:tc>
          <w:tcPr/>
          <w:p>
            <w:pPr>
              <w:pStyle w:val="Compact"/>
              <w:spacing w:after="40" w:line="264" w:lineRule="auto"/>
              <w:jc w:val="left"/>
            </w:pPr>
            <w:r>
              <w:rPr>
                <w:sz w:val="17"/>
              </w:rPr>
              <w:t xml:space="preserve">对应交付</w:t>
            </w:r>
          </w:p>
        </w:tc>
      </w:tr>
      <w:tr>
        <w:trPr>
          <w:cantSplit/>
        </w:trPr>
        <w:tc>
          <w:tcPr/>
          <w:p>
            <w:pPr>
              <w:pStyle w:val="Compact"/>
              <w:spacing w:after="40" w:line="264" w:lineRule="auto"/>
              <w:jc w:val="left"/>
            </w:pPr>
            <w:r>
              <w:rPr>
                <w:sz w:val="17"/>
              </w:rPr>
              <w:t xml:space="preserve">环境建立与调试</w:t>
            </w:r>
          </w:p>
        </w:tc>
        <w:tc>
          <w:tcPr/>
          <w:p>
            <w:pPr>
              <w:pStyle w:val="Compact"/>
              <w:spacing w:after="40" w:line="264" w:lineRule="auto"/>
              <w:jc w:val="left"/>
            </w:pPr>
            <w:r>
              <w:rPr>
                <w:sz w:val="17"/>
              </w:rPr>
              <w:t xml:space="preserve">固定包版本、环境脚本、加载及工程检查日志</w:t>
            </w:r>
          </w:p>
        </w:tc>
      </w:tr>
      <w:tr>
        <w:trPr>
          <w:cantSplit/>
        </w:trPr>
        <w:tc>
          <w:tcPr/>
          <w:p>
            <w:pPr>
              <w:pStyle w:val="Compact"/>
              <w:spacing w:after="40" w:line="264" w:lineRule="auto"/>
              <w:jc w:val="left"/>
            </w:pPr>
            <w:r>
              <w:rPr>
                <w:sz w:val="17"/>
              </w:rPr>
              <w:t xml:space="preserve">LM分析实现</w:t>
            </w:r>
          </w:p>
        </w:tc>
        <w:tc>
          <w:tcPr/>
          <w:p>
            <w:pPr>
              <w:pStyle w:val="Compact"/>
              <w:spacing w:after="40" w:line="264" w:lineRule="auto"/>
              <w:jc w:val="left"/>
            </w:pPr>
            <w:r>
              <w:rPr>
                <w:sz w:val="17"/>
              </w:rPr>
              <w:t xml:space="preserve">保存对象、九图、16项科学表</w:t>
            </w:r>
          </w:p>
        </w:tc>
      </w:tr>
      <w:tr>
        <w:trPr>
          <w:cantSplit/>
        </w:trPr>
        <w:tc>
          <w:tcPr/>
          <w:p>
            <w:pPr>
              <w:pStyle w:val="Compact"/>
              <w:spacing w:after="40" w:line="264" w:lineRule="auto"/>
              <w:jc w:val="left"/>
            </w:pPr>
            <w:r>
              <w:rPr>
                <w:sz w:val="17"/>
              </w:rPr>
              <w:t xml:space="preserve">LM独立数值检查与图例复验</w:t>
            </w:r>
          </w:p>
        </w:tc>
        <w:tc>
          <w:tcPr/>
          <w:p>
            <w:pPr>
              <w:pStyle w:val="Compact"/>
              <w:spacing w:after="40" w:line="264" w:lineRule="auto"/>
              <w:jc w:val="left"/>
            </w:pPr>
            <w:r>
              <w:rPr>
                <w:sz w:val="17"/>
              </w:rPr>
              <w:t xml:space="preserve">独立报告、重算表及图形检查</w:t>
            </w:r>
          </w:p>
        </w:tc>
      </w:tr>
      <w:tr>
        <w:trPr>
          <w:cantSplit/>
        </w:trPr>
        <w:tc>
          <w:tcPr/>
          <w:p>
            <w:pPr>
              <w:pStyle w:val="Compact"/>
              <w:spacing w:after="40" w:line="264" w:lineRule="auto"/>
              <w:jc w:val="left"/>
            </w:pPr>
            <w:r>
              <w:rPr>
                <w:sz w:val="17"/>
              </w:rPr>
              <w:t xml:space="preserve">作者公开输出对照</w:t>
            </w:r>
          </w:p>
        </w:tc>
        <w:tc>
          <w:tcPr/>
          <w:p>
            <w:pPr>
              <w:pStyle w:val="Compact"/>
              <w:spacing w:after="40" w:line="264" w:lineRule="auto"/>
              <w:jc w:val="left"/>
            </w:pPr>
            <w:r>
              <w:rPr>
                <w:sz w:val="17"/>
              </w:rPr>
              <w:t xml:space="preserve">固定HTML、逐簇汇总及日志对照</w:t>
            </w:r>
          </w:p>
        </w:tc>
      </w:tr>
      <w:tr>
        <w:trPr>
          <w:cantSplit/>
        </w:trPr>
        <w:tc>
          <w:tcPr/>
          <w:p>
            <w:pPr>
              <w:pStyle w:val="Compact"/>
              <w:spacing w:after="40" w:line="264" w:lineRule="auto"/>
              <w:jc w:val="left"/>
            </w:pPr>
            <w:r>
              <w:rPr>
                <w:sz w:val="17"/>
              </w:rPr>
              <w:t xml:space="preserve">HSC共同准备与方法对照</w:t>
            </w:r>
          </w:p>
        </w:tc>
        <w:tc>
          <w:tcPr/>
          <w:p>
            <w:pPr>
              <w:pStyle w:val="Compact"/>
              <w:spacing w:after="40" w:line="264" w:lineRule="auto"/>
              <w:jc w:val="left"/>
            </w:pPr>
            <w:r>
              <w:rPr>
                <w:sz w:val="17"/>
              </w:rPr>
              <w:t xml:space="preserve">固定QC、评价集合、两方法五种子结果</w:t>
            </w:r>
          </w:p>
        </w:tc>
      </w:tr>
      <w:tr>
        <w:trPr>
          <w:cantSplit/>
        </w:trPr>
        <w:tc>
          <w:tcPr/>
          <w:p>
            <w:pPr>
              <w:pStyle w:val="Compact"/>
              <w:spacing w:after="40" w:line="264" w:lineRule="auto"/>
              <w:jc w:val="left"/>
            </w:pPr>
            <w:r>
              <w:rPr>
                <w:sz w:val="17"/>
              </w:rPr>
              <w:t xml:space="preserve">HSC独立检查</w:t>
            </w:r>
          </w:p>
        </w:tc>
        <w:tc>
          <w:tcPr/>
          <w:p>
            <w:pPr>
              <w:pStyle w:val="Compact"/>
              <w:spacing w:after="40" w:line="264" w:lineRule="auto"/>
              <w:jc w:val="left"/>
            </w:pPr>
            <w:r>
              <w:rPr>
                <w:sz w:val="17"/>
              </w:rPr>
              <w:t xml:space="preserve">指标重算、对象检查及图表复核</w:t>
            </w:r>
          </w:p>
        </w:tc>
      </w:tr>
      <w:tr>
        <w:trPr>
          <w:cantSplit/>
        </w:trPr>
        <w:tc>
          <w:tcPr/>
          <w:p>
            <w:pPr>
              <w:pStyle w:val="Compact"/>
              <w:spacing w:after="40" w:line="264" w:lineRule="auto"/>
              <w:jc w:val="left"/>
            </w:pPr>
            <w:r>
              <w:rPr>
                <w:sz w:val="17"/>
              </w:rPr>
              <w:t xml:space="preserve">报告写作与排版</w:t>
            </w:r>
          </w:p>
        </w:tc>
        <w:tc>
          <w:tcPr/>
          <w:p>
            <w:pPr>
              <w:pStyle w:val="Compact"/>
              <w:spacing w:after="40" w:line="264" w:lineRule="auto"/>
              <w:jc w:val="left"/>
            </w:pPr>
            <w:r>
              <w:rPr>
                <w:sz w:val="17"/>
              </w:rPr>
              <w:t xml:space="preserve">本报告、代码分析、图表与来源索引</w:t>
            </w:r>
          </w:p>
        </w:tc>
      </w:tr>
    </w:tbl>
    <w:p/>
    <w:tbl>
      <w:tblPr>
        <w:tblStyle w:val="Table"/>
        <w:tblW w:type="auto" w:w="0"/>
        <w:jc w:val="left"/>
        <w:tblLayout w:type="fixed"/>
        <w:tblLook w:firstRow="1" w:lastRow="0" w:firstColumn="0" w:lastColumn="0" w:noHBand="0" w:noVBand="0" w:val="0020"/>
      </w:tblPr>
      <w:tblGrid>
        <w:gridCol w:w="2268"/>
        <w:gridCol w:w="2268"/>
        <w:gridCol w:w="2268"/>
        <w:gridCol w:w="2268"/>
      </w:tblGrid>
      <w:tr>
        <w:trPr>
          <w:tblHeader w:val="on"/>
          <w:cantSplit/>
          <w:tblHeader/>
        </w:trPr>
        <w:tc>
          <w:tcPr/>
          <w:p>
            <w:pPr>
              <w:pStyle w:val="Compact"/>
              <w:spacing w:after="40" w:line="264" w:lineRule="auto"/>
              <w:jc w:val="left"/>
            </w:pPr>
            <w:r>
              <w:rPr>
                <w:sz w:val="17"/>
              </w:rPr>
              <w:t xml:space="preserve">成员姓名</w:t>
            </w:r>
          </w:p>
        </w:tc>
        <w:tc>
          <w:tcPr/>
          <w:p>
            <w:pPr>
              <w:pStyle w:val="Compact"/>
              <w:spacing w:after="40" w:line="264" w:lineRule="auto"/>
              <w:jc w:val="left"/>
            </w:pPr>
            <w:r>
              <w:rPr>
                <w:sz w:val="17"/>
              </w:rPr>
              <w:t xml:space="preserve">实际承担工作</w:t>
            </w:r>
          </w:p>
        </w:tc>
        <w:tc>
          <w:tcPr/>
          <w:p>
            <w:pPr>
              <w:pStyle w:val="Compact"/>
              <w:spacing w:after="40" w:line="264" w:lineRule="auto"/>
              <w:jc w:val="right"/>
            </w:pPr>
            <w:r>
              <w:rPr>
                <w:sz w:val="17"/>
              </w:rPr>
              <w:t xml:space="preserve">实际工时／小时</w:t>
            </w:r>
          </w:p>
        </w:tc>
        <w:tc>
          <w:tcPr/>
          <w:p>
            <w:pPr>
              <w:pStyle w:val="Compact"/>
              <w:spacing w:after="40" w:line="264" w:lineRule="auto"/>
              <w:jc w:val="right"/>
            </w:pPr>
            <w:r>
              <w:rPr>
                <w:sz w:val="17"/>
              </w:rPr>
              <w:t xml:space="preserve">组内排序</w:t>
            </w:r>
          </w:p>
        </w:tc>
      </w:tr>
      <w:tr>
        <w:trPr>
          <w:cantSplit/>
        </w:trPr>
        <w:tc>
          <w:tcPr/>
          <w:p>
            <w:pPr>
              <w:pStyle w:val="Compact"/>
              <w:spacing w:after="40" w:line="264" w:lineRule="auto"/>
            </w:pPr>
          </w:p>
        </w:tc>
        <w:tc>
          <w:tcPr/>
          <w:p>
            <w:pPr>
              <w:pStyle w:val="Compact"/>
              <w:spacing w:after="40" w:line="264" w:lineRule="auto"/>
            </w:pPr>
          </w:p>
        </w:tc>
        <w:tc>
          <w:tcPr/>
          <w:p>
            <w:pPr>
              <w:pStyle w:val="Compact"/>
              <w:spacing w:after="40" w:line="264" w:lineRule="auto"/>
            </w:pPr>
          </w:p>
        </w:tc>
        <w:tc>
          <w:tcPr/>
          <w:p>
            <w:pPr>
              <w:pStyle w:val="Compact"/>
              <w:spacing w:after="40" w:line="264" w:lineRule="auto"/>
            </w:pPr>
          </w:p>
        </w:tc>
      </w:tr>
      <w:tr>
        <w:trPr>
          <w:cantSplit/>
        </w:trPr>
        <w:tc>
          <w:tcPr/>
          <w:p>
            <w:pPr>
              <w:pStyle w:val="Compact"/>
              <w:spacing w:after="40" w:line="264" w:lineRule="auto"/>
            </w:pPr>
          </w:p>
        </w:tc>
        <w:tc>
          <w:tcPr/>
          <w:p>
            <w:pPr>
              <w:pStyle w:val="Compact"/>
              <w:spacing w:after="40" w:line="264" w:lineRule="auto"/>
            </w:pPr>
          </w:p>
        </w:tc>
        <w:tc>
          <w:tcPr/>
          <w:p>
            <w:pPr>
              <w:pStyle w:val="Compact"/>
              <w:spacing w:after="40" w:line="264" w:lineRule="auto"/>
            </w:pPr>
          </w:p>
        </w:tc>
        <w:tc>
          <w:tcPr/>
          <w:p>
            <w:pPr>
              <w:pStyle w:val="Compact"/>
              <w:spacing w:after="40" w:line="264" w:lineRule="auto"/>
            </w:pPr>
          </w:p>
        </w:tc>
      </w:tr>
      <w:tr>
        <w:trPr>
          <w:cantSplit/>
        </w:trPr>
        <w:tc>
          <w:tcPr/>
          <w:p>
            <w:pPr>
              <w:pStyle w:val="Compact"/>
              <w:spacing w:after="40" w:line="264" w:lineRule="auto"/>
            </w:pPr>
          </w:p>
        </w:tc>
        <w:tc>
          <w:tcPr/>
          <w:p>
            <w:pPr>
              <w:pStyle w:val="Compact"/>
              <w:spacing w:after="40" w:line="264" w:lineRule="auto"/>
            </w:pPr>
          </w:p>
        </w:tc>
        <w:tc>
          <w:tcPr/>
          <w:p>
            <w:pPr>
              <w:pStyle w:val="Compact"/>
              <w:spacing w:after="40" w:line="264" w:lineRule="auto"/>
            </w:pPr>
          </w:p>
        </w:tc>
        <w:tc>
          <w:tcPr/>
          <w:p>
            <w:pPr>
              <w:pStyle w:val="Compact"/>
              <w:spacing w:after="40" w:line="264" w:lineRule="auto"/>
            </w:pPr>
          </w:p>
        </w:tc>
      </w:tr>
    </w:tbl>
    <w:bookmarkEnd w:id="126"/>
    <w:bookmarkStart w:id="127" w:name="background"/>
    <w:p>
      <w:pPr>
        <w:pStyle w:val="Heading1"/>
      </w:pPr>
      <w:r>
        <w:t xml:space="preserve">Background</w:t>
      </w:r>
    </w:p>
    <w:p>
      <w:pPr>
        <w:pStyle w:val="FirstParagraph"/>
      </w:pPr>
      <w:r>
        <w:t xml:space="preserve">Single-cell transcriptomics studies variation among individual cells by measuring expression for thousands of genes. A central computational task is to organize cells into groups and connect those groups to interpretable molecular features. Conventional workflows commonly normalize counts, select variable genes, calculate principal components, and identify communities in a neighbor graph. Such workflows provide useful cell partitions, while interpretation draws on gene expression patterns and published cell annotations. CAdir approaches this task through correspondence analysis and directional clustering. Its geometry links cells and genes, allowing cluster assignment, associated-gene ranking, and visualization to be interpreted within a common representation.</w:t>
      </w:r>
    </w:p>
    <w:p>
      <w:pPr>
        <w:pStyle w:val="BodyText"/>
      </w:pPr>
      <w:r>
        <w:t xml:space="preserve">This research training project examines that connection through an original-paper case and a new-data comparison. The Limb Muscle subset of Tabula Muris serves as the original case. It contains a mixture of tissue and immune populations and is used to reconstruct association plots, comparisons among directions, split-and-merge history, reference-label flows, and coordinate transformations. The resulting seven clusters and 1,200 assigned genes agree with the core summaries printed in the author’s public execution record. Examination of individual clusters connects the aggregate evaluation score to the actual distribution of reference labels. For example, the macrophage prediction shows a concentrated reference composition, while the B-cell prediction includes both B-cell and lymphocyte reference annotations.</w:t>
      </w:r>
    </w:p>
    <w:p>
      <w:pPr>
        <w:pStyle w:val="BodyText"/>
      </w:pPr>
      <w:r>
        <w:t xml:space="preserve">The extension uses the Nestorowa mouse hematopoietic stem and progenitor cell study. A shared preparation procedure fixes quality control, normalization, highly variable genes, and evaluation identifiers before comparing methods. CAdir and a principal-component-analysis, shared-nearest-neighbor, and Louvain baseline are each evaluated with five predefined seeds. Their relative ordering differs between the adjusted Rand index and normalized mutual information. The number of predicted clusters also differs, providing a practical example of the relationship between partition granularity and reference agreement. This experiment joins quantitative evaluation with inspection of cluster composition.</w:t>
      </w:r>
    </w:p>
    <w:p>
      <w:pPr>
        <w:pStyle w:val="BodyText"/>
      </w:pPr>
      <w:r>
        <w:t xml:space="preserve">The project emphasizes a traceable connection between computation and explanation. Input hashes identify the data objects, explicit identifiers connect matrices and annotations, and source revisions identify the executed implementation. Saved correspondence-analysis coordinates, random-number states, gene-ranking parameters, numerical tables, and figures make the results inspectable at multiple levels. Independent recalculation supports the reported metrics and geometric outputs. The educational contribution is an end-to-end account of how a published clustering method is implemented, evaluated, and explained using real single-cell data. The report combines the original method’s mathematical ideas with the practical steps required to obtain interpretable, reproducible experimental evidence.</w:t>
      </w:r>
    </w:p>
    <w:bookmarkEnd w:id="127"/>
    <w:sectPr w:rsidR="00FC693F" w:rsidRPr="0006063C" w:rsidSect="00034616">
      <w:headerReference r:id="rId9" w:type="default"/>
      <w:footerReference r:id="rId10" w:type="default"/>
      <w:pgSz w:h="16838" w:w="11906"/>
      <w:pgMar w:bottom="1417" w:footer="680" w:gutter="0" w:header="68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CAdir单细胞联合聚类复现与新数据对照实验</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88" w:lineRule="auto"/>
    </w:pPr>
    <w:rPr>
      <w:rFonts w:ascii="Times New Roman" w:eastAsia="Noto Serif CJK SC" w:hAnsi="Times New Roman"/>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Noto Sans CJK SC"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Noto Sans CJK SC" w:eastAsiaTheme="majorEastAsia" w:hAnsi="Times New Roman" w:hAnsiTheme="majorHAnsi"/>
      <w:b/>
      <w:bCs/>
      <w:color w:val="000000"/>
      <w:sz w:val="21"/>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Noto Sans CJK SC" w:eastAsiaTheme="majorEastAsia" w:hAnsi="Times New Roman" w:hAnsiTheme="majorHAnsi"/>
      <w:b/>
      <w:bCs/>
      <w:color w:val="00000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Times New Roman" w:asciiTheme="majorHAnsi" w:cstheme="majorBidi" w:eastAsia="Noto Sans CJK SC" w:eastAsiaTheme="majorEastAsia" w:hAnsi="Times New Roman" w:hAnsiTheme="majorHAnsi"/>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pPr>
    <w:rPr>
      <w:rFonts w:ascii="Times New Roman" w:asciiTheme="majorHAnsi" w:cstheme="majorBidi" w:eastAsia="Noto Sans CJK SC" w:eastAsiaTheme="majorEastAsia" w:hAnsi="Times New Roman" w:hAnsiTheme="majorHAnsi"/>
      <w:b/>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80" w:line="288" w:lineRule="auto"/>
    </w:pPr>
    <w:rPr>
      <w:rFonts w:ascii="Times New Roman" w:eastAsia="Noto Serif CJK SC" w:hAnsi="Times New Roman"/>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80" w:line="288" w:lineRule="auto"/>
    </w:pPr>
    <w:rPr>
      <w:rFonts w:ascii="Times New Roman" w:eastAsia="Noto Serif CJK SC" w:hAnsi="Times New Roman"/>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80" w:line="288" w:lineRule="auto"/>
    </w:pPr>
    <w:rPr>
      <w:rFonts w:ascii="Times New Roman" w:eastAsia="Noto Serif CJK SC" w:hAnsi="Times New Roman"/>
      <w:color w:val="000000"/>
      <w:sz w:val="21"/>
    </w:rPr>
  </w:style>
  <w:style w:customStyle="1" w:styleId="Compact" w:type="paragraph">
    <w:name w:val="Compact"/>
    <w:pPr>
      <w:spacing w:after="80" w:line="288" w:lineRule="auto"/>
    </w:pPr>
    <w:rPr>
      <w:rFonts w:ascii="Times New Roman" w:eastAsia="Noto Serif CJK SC" w:hAnsi="Times New Roman"/>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0" Type="http://schemas.openxmlformats.org/officeDocument/2006/relationships/image" Target="media/rId50.png"/><Relationship Id="rId54" Type="http://schemas.openxmlformats.org/officeDocument/2006/relationships/image" Target="media/rId54.png"/><Relationship Id="rId57" Type="http://schemas.openxmlformats.org/officeDocument/2006/relationships/image" Target="media/rId57.png"/><Relationship Id="rId61" Type="http://schemas.openxmlformats.org/officeDocument/2006/relationships/image" Target="media/rId61.png"/><Relationship Id="rId89" Type="http://schemas.openxmlformats.org/officeDocument/2006/relationships/image" Target="media/rId89.png"/><Relationship Id="rId93" Type="http://schemas.openxmlformats.org/officeDocument/2006/relationships/image" Target="media/rId93.png"/><Relationship Id="rId96" Type="http://schemas.openxmlformats.org/officeDocument/2006/relationships/image" Target="media/rId96.png"/><Relationship Id="rId85" Type="http://schemas.openxmlformats.org/officeDocument/2006/relationships/image" Target="media/rId85.png"/><Relationship Id="rId65" Type="http://schemas.openxmlformats.org/officeDocument/2006/relationships/image" Target="media/rId65.png"/><Relationship Id="rId68" Type="http://schemas.openxmlformats.org/officeDocument/2006/relationships/image" Target="media/rId68.png"/><Relationship Id="rId72" Type="http://schemas.openxmlformats.org/officeDocument/2006/relationships/image" Target="media/rId72.png"/><Relationship Id="rId76" Type="http://schemas.openxmlformats.org/officeDocument/2006/relationships/image" Target="media/rId76.png"/><Relationship Id="rId79" Type="http://schemas.openxmlformats.org/officeDocument/2006/relationships/image" Target="media/rId79.png"/><Relationship Id="rId113" Type="http://schemas.openxmlformats.org/officeDocument/2006/relationships/hyperlink" Target="https://doi.org/10.1007/BF01908075" TargetMode="External"/><Relationship Id="rId110" Type="http://schemas.openxmlformats.org/officeDocument/2006/relationships/hyperlink" Target="https://doi.org/10.1038/nmeth.3252" TargetMode="External"/><Relationship Id="rId108" Type="http://schemas.openxmlformats.org/officeDocument/2006/relationships/hyperlink" Target="https://doi.org/10.1038/s41586-018-0590-4" TargetMode="External"/><Relationship Id="rId112" Type="http://schemas.openxmlformats.org/officeDocument/2006/relationships/hyperlink" Target="https://doi.org/10.1088/1742-5468/2008/10/P10008" TargetMode="External"/><Relationship Id="rId109" Type="http://schemas.openxmlformats.org/officeDocument/2006/relationships/hyperlink" Target="https://doi.org/10.1182/blood-2016-05-716480" TargetMode="External"/><Relationship Id="rId107" Type="http://schemas.openxmlformats.org/officeDocument/2006/relationships/hyperlink" Target="https://doi.org/10.1371/journal.pcbi.1014418" TargetMode="External"/><Relationship Id="rId118" Type="http://schemas.openxmlformats.org/officeDocument/2006/relationships/hyperlink" Target="https://github.com/VingronLab/APL/tree/d4d1f40d9ea9f1d9a95b224d45de843334cd617d" TargetMode="External"/><Relationship Id="rId117" Type="http://schemas.openxmlformats.org/officeDocument/2006/relationships/hyperlink" Target="https://github.com/VingronLab/CAdir/tree/de74a008dfcd0d4fa4f7f93c57aa346892a8d935" TargetMode="External"/><Relationship Id="rId116" Type="http://schemas.openxmlformats.org/officeDocument/2006/relationships/hyperlink" Target="https://github.com/VingronLab/CAdir_results/tree/c15b49578bde38b42fd5db2c9830c10dd441ee4c" TargetMode="External"/><Relationship Id="rId115" Type="http://schemas.openxmlformats.org/officeDocument/2006/relationships/hyperlink" Target="https://github.com/Yang2Krown/cadir-research-training" TargetMode="External"/><Relationship Id="rId111" Type="http://schemas.openxmlformats.org/officeDocument/2006/relationships/hyperlink" Target="https://pubmed.ncbi.nlm.nih.gov/27909575/" TargetMode="External"/><Relationship Id="rId120" Type="http://schemas.openxmlformats.org/officeDocument/2006/relationships/hyperlink" Target="https://www.ncbi.nlm.nih.gov/geo/query/acc.cgi?acc=GSE109774" TargetMode="External"/><Relationship Id="rId121" Type="http://schemas.openxmlformats.org/officeDocument/2006/relationships/hyperlink" Target="https://www.ncbi.nlm.nih.gov/geo/query/acc.cgi?acc=GSE81682" TargetMode="External"/></Relationships>
</file>

<file path=word/_rels/footnotes.xml.rels><?xml version='1.0' encoding='UTF-8' standalone='yes'?>
<Relationships xmlns="http://schemas.openxmlformats.org/package/2006/relationships"><Relationship Id="rId113" Type="http://schemas.openxmlformats.org/officeDocument/2006/relationships/hyperlink" Target="https://doi.org/10.1007/BF01908075" TargetMode="External"/><Relationship Id="rId110" Type="http://schemas.openxmlformats.org/officeDocument/2006/relationships/hyperlink" Target="https://doi.org/10.1038/nmeth.3252" TargetMode="External"/><Relationship Id="rId108" Type="http://schemas.openxmlformats.org/officeDocument/2006/relationships/hyperlink" Target="https://doi.org/10.1038/s41586-018-0590-4" TargetMode="External"/><Relationship Id="rId112" Type="http://schemas.openxmlformats.org/officeDocument/2006/relationships/hyperlink" Target="https://doi.org/10.1088/1742-5468/2008/10/P10008" TargetMode="External"/><Relationship Id="rId109" Type="http://schemas.openxmlformats.org/officeDocument/2006/relationships/hyperlink" Target="https://doi.org/10.1182/blood-2016-05-716480" TargetMode="External"/><Relationship Id="rId107" Type="http://schemas.openxmlformats.org/officeDocument/2006/relationships/hyperlink" Target="https://doi.org/10.1371/journal.pcbi.1014418" TargetMode="External"/><Relationship Id="rId118" Type="http://schemas.openxmlformats.org/officeDocument/2006/relationships/hyperlink" Target="https://github.com/VingronLab/APL/tree/d4d1f40d9ea9f1d9a95b224d45de843334cd617d" TargetMode="External"/><Relationship Id="rId117" Type="http://schemas.openxmlformats.org/officeDocument/2006/relationships/hyperlink" Target="https://github.com/VingronLab/CAdir/tree/de74a008dfcd0d4fa4f7f93c57aa346892a8d935" TargetMode="External"/><Relationship Id="rId116" Type="http://schemas.openxmlformats.org/officeDocument/2006/relationships/hyperlink" Target="https://github.com/VingronLab/CAdir_results/tree/c15b49578bde38b42fd5db2c9830c10dd441ee4c" TargetMode="External"/><Relationship Id="rId115" Type="http://schemas.openxmlformats.org/officeDocument/2006/relationships/hyperlink" Target="https://github.com/Yang2Krown/cadir-research-training" TargetMode="External"/><Relationship Id="rId111" Type="http://schemas.openxmlformats.org/officeDocument/2006/relationships/hyperlink" Target="https://pubmed.ncbi.nlm.nih.gov/27909575/" TargetMode="External"/><Relationship Id="rId120" Type="http://schemas.openxmlformats.org/officeDocument/2006/relationships/hyperlink" Target="https://www.ncbi.nlm.nih.gov/geo/query/acc.cgi?acc=GSE109774" TargetMode="External"/><Relationship Id="rId121" Type="http://schemas.openxmlformats.org/officeDocument/2006/relationships/hyperlink" Target="https://www.ncbi.nlm.nih.gov/geo/query/acc.cgi?acc=GSE81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CAdir单细胞联合聚类的复现与新数据对照实验</dc:title>
  <dc:creator/>
  <dc:language>zh-CN</dc:language>
  <cp:keywords/>
  <dcterms:created xsi:type="dcterms:W3CDTF">2026-10-27T07:37:18Z</dcterms:created>
  <dcterms:modified xsi:type="dcterms:W3CDTF">2026-10-27T07:37:18Z</dcterms:modified>
  <dc:subject>科研基础训练实验报告</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2026年10月27日</vt:lpwstr>
  </property>
  <property fmtid="{D5CDD505-2E9C-101B-9397-08002B2CF9AE}" pid="3" name="subtitle">
    <vt:lpwstr>科研基础训练实验报告</vt:lpwstr>
  </property>
  <property fmtid="{D5CDD505-2E9C-101B-9397-08002B2CF9AE}" pid="4" name="toc-title">
    <vt:lpwstr>目录</vt:lpwstr>
  </property>
</Properties>
</file>