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D486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center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基于通义</w:t>
      </w:r>
      <w:r>
        <w:rPr>
          <w:rFonts w:hint="default" w:ascii="Times New Roman" w:hAnsi="Times New Roman" w:eastAsia="微软雅黑" w:cs="Times New Roman"/>
          <w:b/>
          <w:bCs/>
          <w:color w:val="auto"/>
          <w:sz w:val="32"/>
          <w:szCs w:val="32"/>
        </w:rPr>
        <w:t>DeepResearch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架构的问答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系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统实现</w:t>
      </w:r>
    </w:p>
    <w:p w14:paraId="464E23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小组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成员： 杨智超、杨晨、王煜祥、夏商周</w:t>
      </w:r>
    </w:p>
    <w:p w14:paraId="1A3B1B4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3EB90A0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摘要</w:t>
      </w:r>
    </w:p>
    <w:p w14:paraId="64A24D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 w:ascii="Times New Roman Regular" w:hAnsi="Times New Roman Regular" w:eastAsia="宋体" w:cs="Times New Roman Regular"/>
          <w:color w:val="auto"/>
        </w:rPr>
      </w:pPr>
    </w:p>
    <w:p w14:paraId="5BC1F5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开放域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Web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场景下的复杂问答与深度调研任务通常包含问题澄清、检索规划、证据收集、冲突对齐、计算核验与结构化写作等步骤。传统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Chatbot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一次性检索生成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RAG</w:t>
      </w:r>
      <w:r>
        <w:rPr>
          <w:rFonts w:hint="eastAsia" w:ascii="宋体" w:hAnsi="宋体" w:eastAsia="宋体" w:cs="宋体"/>
          <w:color w:val="auto"/>
          <w:kern w:val="0"/>
          <w:sz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在长程规划、工具调用稳定性与证据可追溯性方面存在不足，容易出现检索噪声累积、推理链断裂以及关键结论缺乏来源支撑等问题。</w:t>
      </w:r>
    </w:p>
    <w:p w14:paraId="3B0625F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本项目以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Qwen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最新开源模型为基座，在系统结构上参考通义</w:t>
      </w:r>
      <w:r>
        <w:rPr>
          <w:rFonts w:hint="eastAsia" w:ascii="Times New Roman" w:hAnsi="Times New Roman" w:eastAsia="宋体" w:cs="Times New Roman"/>
          <w:color w:val="auto"/>
          <w:kern w:val="0"/>
          <w:sz w:val="24"/>
          <w:lang w:val="en-US" w:eastAsia="zh-CN"/>
          <w14:ligatures w14:val="none"/>
        </w:rPr>
        <w:t>DeepResearch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的研究型智能体思路。我们实现了包括推理执行层（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Rollout Service &amp; Worker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）、环境交互层（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Search/Visit/Python Interpreter/Google Scholar/File Parser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）、轨迹记录与奖励评估（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Trajectory &amp; Reward Service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）以及上下文压缩与报告生成（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lang w:val="en-US" w:eastAsia="zh-CN"/>
          <w14:ligatures w14:val="none"/>
        </w:rPr>
        <w:t>Context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 xml:space="preserve"> Management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）的端到端闭环，并以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ReAct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作为主要的推理</w:t>
      </w:r>
      <w:r>
        <w:rPr>
          <w:rFonts w:hint="eastAsia" w:ascii="宋体" w:hAnsi="宋体" w:eastAsia="宋体" w:cs="宋体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行动组织方式。性能评估方面，我们</w:t>
      </w:r>
      <w:r>
        <w:rPr>
          <w:rFonts w:hint="eastAsia" w:ascii="宋体" w:hAnsi="宋体" w:eastAsia="宋体" w:cs="宋体"/>
          <w:color w:val="auto"/>
          <w:kern w:val="0"/>
          <w:sz w:val="24"/>
          <w:lang w:val="en-US" w:eastAsia="zh-CN"/>
          <w14:ligatures w14:val="none"/>
        </w:rPr>
        <w:t>在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公开</w:t>
      </w:r>
      <w:r>
        <w:rPr>
          <w:rFonts w:hint="eastAsia" w:ascii="宋体" w:hAnsi="宋体" w:eastAsia="宋体" w:cs="宋体"/>
          <w:color w:val="auto"/>
          <w:kern w:val="0"/>
          <w:sz w:val="24"/>
          <w:lang w:val="en-US" w:eastAsia="zh-CN"/>
          <w14:ligatures w14:val="none"/>
        </w:rPr>
        <w:t>基准上与其它模型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进行</w:t>
      </w:r>
      <w:r>
        <w:rPr>
          <w:rFonts w:hint="eastAsia" w:ascii="宋体" w:hAnsi="宋体" w:eastAsia="宋体" w:cs="宋体"/>
          <w:color w:val="auto"/>
          <w:kern w:val="0"/>
          <w:sz w:val="24"/>
          <w:lang w:val="en-US" w:eastAsia="zh-CN"/>
          <w14:ligatures w14:val="none"/>
        </w:rPr>
        <w:t>对比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分析，在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Humanity’s Last Exam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、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BrowseComp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（含中文）、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GAIA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、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xBench-DeepSearch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、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WebWalker QA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、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FRAMES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等基准上取得较强表现，验证了本项目所实现链路在检索、推理与结构化输出方面的可用性与扩展潜力。</w:t>
      </w:r>
    </w:p>
    <w:p w14:paraId="75EBB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6FD0494E">
      <w:pPr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400" w:lineRule="exact"/>
        <w:jc w:val="both"/>
        <w:textAlignment w:val="auto"/>
        <w:outlineLvl w:val="1"/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:lang w:val="en-US" w:eastAsia="zh-CN"/>
          <w14:ligatures w14:val="none"/>
        </w:rPr>
        <w:t>一、</w:t>
      </w: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14:ligatures w14:val="none"/>
        </w:rPr>
        <w:t>项目背景</w:t>
      </w:r>
    </w:p>
    <w:p w14:paraId="20E3AB01">
      <w:pPr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400" w:lineRule="exact"/>
        <w:jc w:val="both"/>
        <w:textAlignment w:val="auto"/>
        <w:outlineLvl w:val="1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14:ligatures w14:val="none"/>
        </w:rPr>
      </w:pPr>
    </w:p>
    <w:p w14:paraId="249935B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40" w:lineRule="auto"/>
        <w:jc w:val="both"/>
        <w:textAlignment w:val="auto"/>
        <w:outlineLvl w:val="2"/>
        <w:rPr>
          <w:rFonts w:hint="default" w:ascii="黑体" w:hAnsi="黑体" w:eastAsia="黑体" w:cs="黑体"/>
          <w:b/>
          <w:bCs/>
          <w:color w:val="auto"/>
          <w:kern w:val="0"/>
          <w:sz w:val="30"/>
          <w:szCs w:val="30"/>
          <w:lang w:val="en-US"/>
          <w14:ligatures w14:val="none"/>
        </w:rPr>
      </w:pPr>
      <w:r>
        <w:rPr>
          <w:rFonts w:hint="eastAsia" w:ascii="黑体" w:hAnsi="黑体" w:eastAsia="黑体" w:cs="黑体"/>
          <w:b/>
          <w:bCs/>
          <w:color w:val="auto"/>
          <w:kern w:val="0"/>
          <w:sz w:val="30"/>
          <w:szCs w:val="30"/>
          <w:lang w:val="en-US" w:eastAsia="zh-CN"/>
          <w14:ligatures w14:val="none"/>
        </w:rPr>
        <w:t>1.1 主要任务</w:t>
      </w:r>
    </w:p>
    <w:p w14:paraId="1598912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4AD809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开放域问答在真实场景中常被包装为“一个问题”，但其内部往往是一个研究流程：用户并不知道应检索哪些来源、如何对齐指标口径，也无法判断网页信息的可信度。以市场调研为例，用户提出“近五年轻薄本市场规模和主要品牌份额”，系统不仅要找数据，还必须解决“时间范围”“区域口径”“规模是出货量还是销售额”“份额来自哪份报告”等隐含约束，并把多源证据整理为能被复核的结构化文本。</w:t>
      </w:r>
    </w:p>
    <w:p w14:paraId="164880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因此，本项目将目标从“生成回答”提升为“完成调研”，强调智能体需要在开放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Web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环境中执行多轮动作，并在过程中维持一个可解释、可追溯的工作空间。我们将这一能力概括为三件事：更懂问题（能抽取约束与需求结构）、会思考（能拆解子任务并规划策略）、能行动（能稳定调用工具完成检索、访问、抽取与核验）。</w:t>
      </w:r>
    </w:p>
    <w:p w14:paraId="4C9C21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400" w:lineRule="exact"/>
        <w:jc w:val="both"/>
        <w:textAlignment w:val="auto"/>
        <w:outlineLvl w:val="2"/>
        <w:rPr>
          <w:rFonts w:hint="eastAsia" w:ascii="黑体" w:hAnsi="黑体" w:eastAsia="黑体" w:cs="黑体"/>
          <w:b/>
          <w:bCs/>
          <w:color w:val="auto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黑体"/>
          <w:b/>
          <w:bCs/>
          <w:color w:val="auto"/>
          <w:kern w:val="0"/>
          <w:sz w:val="30"/>
          <w:szCs w:val="30"/>
          <w:lang w:val="en-US" w:eastAsia="zh-CN"/>
          <w14:ligatures w14:val="none"/>
        </w:rPr>
        <w:t xml:space="preserve">1.2 </w:t>
      </w:r>
      <w:r>
        <w:rPr>
          <w:rFonts w:hint="eastAsia" w:ascii="黑体" w:hAnsi="黑体" w:eastAsia="黑体" w:cs="黑体"/>
          <w:b/>
          <w:bCs/>
          <w:color w:val="auto"/>
          <w:kern w:val="0"/>
          <w:sz w:val="30"/>
          <w:szCs w:val="30"/>
          <w14:ligatures w14:val="none"/>
        </w:rPr>
        <w:t>现有方法的主要瓶颈</w:t>
      </w:r>
    </w:p>
    <w:p w14:paraId="74C374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CC189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第一类瓶颈来自长任务上下文的噪声累积。传统对话系统通常将全部历史拼接进上下文，导致信息密度不断下降，模型容易在后期反复检索或偏离目标。第二类瓶颈来自验证困难。开放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14:ligatures w14:val="none"/>
        </w:rPr>
        <w:t>Web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信息天然存在口径差异和转述链条，若缺少“结论</w:t>
      </w:r>
      <w:r>
        <w:rPr>
          <w:rFonts w:hint="eastAsia" w:ascii="宋体" w:hAnsi="宋体" w:eastAsia="宋体" w:cs="宋体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证据”绑定机制，最终输出很难被复核。第三类瓶颈来自推理与行动的不对齐。基础模型即便能给出计划，也可能无法稳定地产生可执行、可解析的工具调用，导致系统在工程上难以闭环。第四类瓶颈来自工具环境的不稳定性，包括超时、页面变动、反爬限制等，会使训练与评估难以复现。</w:t>
      </w:r>
    </w:p>
    <w:p w14:paraId="47BD3AF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  <w:t>本项目的设计选择，是把这些瓶颈显式地转化为系统模块：用上下文管理缓解噪声，用证据存储与奖励评估提升可追溯性，用轨迹化执行与工具沙盒提升可执行性与可复现性。</w:t>
      </w:r>
    </w:p>
    <w:p w14:paraId="418B2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14:ligatures w14:val="none"/>
        </w:rPr>
      </w:pPr>
    </w:p>
    <w:p w14:paraId="123B41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黑体" w:hAnsi="黑体" w:eastAsia="黑体" w:cs="黑体"/>
          <w:b/>
          <w:bCs/>
          <w:color w:val="auto"/>
          <w:sz w:val="32"/>
          <w:szCs w:val="32"/>
          <w:lang w:val="en-US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二、基本思路</w:t>
      </w:r>
    </w:p>
    <w:p w14:paraId="002BAE1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065558B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2.1 项目目标</w:t>
      </w:r>
    </w:p>
    <w:p w14:paraId="7AAB255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339E7C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本项目以“认知智能体原型系统”为定位，目标不是实现某个单点功能（例如搜索增强问答），而是实现一个可运行的端到端闭环：系统能够从自然语言问题出发，自主规划检索与验证路径，通过工具获得外部世界的观察，再把观察结果组织为结构化、可解释的输出。这里的“结构化”并不意味着必须输出 JSON，而是指回答具有清晰的层级结构、结论来源明确、关键数字可复核，并在必要时对口径差异做出解释。</w:t>
      </w:r>
    </w:p>
    <w:p w14:paraId="2F7EBCE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与传统知识问答不同，本项目把“行动”视为系统能力的一部分：系统必须把检索、访问、抽取、计算等外部行为纳入推理链条。为此，我们将工具调用与中间观察纳入轨迹，并在系统层提供回放与评估能力，使得最终输出可以追溯到行动过程与证据来源。</w:t>
      </w:r>
    </w:p>
    <w:p w14:paraId="14B7858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C22A9F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2.2 评价标准</w:t>
      </w:r>
    </w:p>
    <w:p w14:paraId="39D3A37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8DE2DD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本项目的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评价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标准以“可用性”而非“演示性”为导向。我们要求系统能够在多轮交互中保持目标一致性，能够稳定调用工具并利用观察推进任务，能够在输出中给出结构化的结论，并在涉及关键数值时具备跨源核验或计算复算的能力。</w:t>
      </w:r>
    </w:p>
    <w:p w14:paraId="0E922A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86E0D4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系统基本框架</w:t>
      </w:r>
    </w:p>
    <w:p w14:paraId="3B0049F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szCs w:val="24"/>
          <w14:ligatures w14:val="none"/>
        </w:rPr>
      </w:pPr>
    </w:p>
    <w:p w14:paraId="007182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1"/>
          <w:szCs w:val="21"/>
          <w14:ligatures w14:val="none"/>
        </w:rPr>
      </w:pPr>
      <w:r>
        <w:rPr>
          <w:color w:val="auto"/>
        </w:rPr>
        <w:drawing>
          <wp:inline distT="0" distB="0" distL="114300" distR="114300">
            <wp:extent cx="5245735" cy="3110865"/>
            <wp:effectExtent l="0" t="0" r="2540" b="381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B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14:ligatures w14:val="none"/>
        </w:rPr>
        <w:t>图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/>
          <w14:ligatures w14:val="none"/>
        </w:rPr>
        <w:t>3.1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14:ligatures w14:val="none"/>
        </w:rPr>
        <w:t xml:space="preserve"> 系统总体架构图</w:t>
      </w:r>
    </w:p>
    <w:p w14:paraId="5C49CB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14:ligatures w14:val="none"/>
        </w:rPr>
      </w:pPr>
    </w:p>
    <w:p w14:paraId="1F5F8832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 xml:space="preserve">3.1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推理执行层</w:t>
      </w:r>
    </w:p>
    <w:p w14:paraId="3CE7207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EF8A0A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推理执行层负责将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语言模型的输出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转化为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可执行的行动序列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。在实现上，我们采用 ReAct 作为主要的推理组织范式：模型在每一轮根据当前任务状态输出下一步行动（如Search、Visit、Python等），系统执行行动并将返回结果作为Observation写回上下文，随后进入下一轮推理。Rollout Service负责全局调度与状态管理，包括轮次控制、失败重试、工具调用超时处理、以及输出格式解析等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；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Worker负责具体执行与资源管理，保证多轮交互能稳定持续。</w:t>
      </w:r>
    </w:p>
    <w:p w14:paraId="13392E1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为了让系统具备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研究型任务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的节奏，Rollout层不仅处理单次工具调用，还要处理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动作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观察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更新工作空间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再决策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的循环。换言之，推理执行层的职责不是简单把工具当插件调用，而是把工具作为环境，形成可学习、可回放的交互轨迹。</w:t>
      </w:r>
    </w:p>
    <w:p w14:paraId="30800D4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3AA245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 xml:space="preserve">3.2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环境交互层</w:t>
      </w:r>
    </w:p>
    <w:p w14:paraId="2F6F5D2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0141CED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环境交互层集成了多种外部工具，分别对应研究任务中的关键动作类型。Search负责网络检索与候选来源获取；Visit负责页面访问、正文拉取与信息提取；Python Interpreter负责数值计算、单位换算与一致性核验；Google Scholar用于学术检索以增强权威来源覆盖；File Parser用于解析本地文档，服务于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用户上传材料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+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外部检索补全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的混合场景。</w:t>
      </w:r>
    </w:p>
    <w:p w14:paraId="54A9CE4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在工程实现上，我们为这些工具设计了统一的输入输出结构，使得模型的行动可以被稳定解析并执行，工具返回的观察也可以被写入轨迹并用于后续推理。统一接口的意义在于：一方面降低了模型学习工具调用的难度，另一方面使得日志、缓存与异常处理能够以一致方式落地，从而提升系统可复现性。</w:t>
      </w:r>
    </w:p>
    <w:p w14:paraId="345F937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15B330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3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eastAsia="zh-CN"/>
        </w:rPr>
        <w:t>.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 xml:space="preserve">3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轨迹与奖励</w:t>
      </w:r>
    </w:p>
    <w:p w14:paraId="45BAC71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2C1E33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研究型智能体的关键是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过程可追溯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。因此，我们将每轮的模型输出、行动参数、工具返回、以及中间状态写入Trajectory。该轨迹既用于调试回放，也为后续训练或调优提供数据基础。Reward Service则在轨迹基础上对答案质量进行动态评估，其评估维度不仅包含最终文本是否“像答案”，还包括关键字段是否覆盖、是否存在证据引用、工具调用是否有效、输出格式是否满足要求等。</w:t>
      </w:r>
    </w:p>
    <w:p w14:paraId="51608BD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337AED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 xml:space="preserve">3.4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上下文管理</w:t>
      </w:r>
    </w:p>
    <w:p w14:paraId="3875818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5A3B6EE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长任务中最常见的失败模式是上下文越积越多，最终模型无法聚焦。为缓解这一问题，本项目在系统层加入Context Management。其核心思想是把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完整对话历史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压缩为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高信息密度的工作空间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，将已确认的事实、关键证据、尚未解决的问题与下一步计划以结构化形式保存。随后模型不需要阅读全部历史，而是基于工作空间继续推理，从而降低噪声并提升长链路稳定性。</w:t>
      </w:r>
    </w:p>
    <w:p w14:paraId="351A9D5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在输出阶段，我们将工作空间中的发现组织为结构化结果，生成具有章节层级的领域专业答案或简版研报，实现从信息检索到知识沉淀的转化。</w:t>
      </w:r>
    </w:p>
    <w:p w14:paraId="5912CB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1039CC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四、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数据采集方式与训练策略</w:t>
      </w:r>
    </w:p>
    <w:p w14:paraId="16F3D314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57472F64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 xml:space="preserve">4.1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增量训练数据</w:t>
      </w:r>
    </w:p>
    <w:p w14:paraId="78B17F5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60F1FF3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为了使模型更适合研究型任务，我们在数据侧采用“实体锚定”的组织方式，将公开知识文档、爬虫数据以及工具调用产生的片段作为原材料，围绕实体（公司、产品、指标、年份、地区等）构建可重组的知识记忆。实体锚定的优势在于，它能将知识从“长文本”切分为“可组合片段”，便于生成多样化的问题与答案，也便于在后续训练中强化模型的跨片段对齐与组合推理能力。</w:t>
      </w:r>
    </w:p>
    <w:p w14:paraId="3ED8024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在问题构建时，我们并不只生成简单的事实问答，而是刻意引入约束与风格变化，例如要求对比两个品牌、限定时间窗口、指定指标口径或要求输出结构化小结。这种数据形态更贴近真实调研请求，也更能驱动模型形成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先澄清约束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再检索验证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再写作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的策略倾向。</w:t>
      </w:r>
    </w:p>
    <w:p w14:paraId="17A2BD5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FDBFA7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4.2 后训练数据</w:t>
      </w:r>
    </w:p>
    <w:p w14:paraId="043C0ED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35257D0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在后训练阶段，我们更强调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可验证性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。开放域合成数据最难之处在于正确性与一致性难以保证，因此我们在数据生成时保留证据链接与摘录片段，并对关键字段做一致性检查，使得每个样本不仅能训练模型生成答案，还能训练模型生成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带证据的答案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。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我们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把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证据结构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作为样本的一部分，并让Reward Service能够对证据覆盖度进行度量。</w:t>
      </w:r>
    </w:p>
    <w:p w14:paraId="33E2FE7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A3B4E4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4.3 动作合成与轨迹化样本</w:t>
      </w:r>
    </w:p>
    <w:p w14:paraId="61D4C0E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50373C4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研究型智能体真正困难的不是写报告，而是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在不确定环境中持续推进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。因此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，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我们在数据中加入轨迹化动作：包含单步规划（任务拆解）、推理动作（单位换算、时间对齐、口径解释）以及多步决策（证据不足时切换检索策略、换源、再核验）。轨迹化样本使模型在学习时不仅看到最终答案，还能看到如何通过工具获得答案，从而提升在真实环境中的可执行性。</w:t>
      </w:r>
    </w:p>
    <w:p w14:paraId="3EE12F9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2116AD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4.4 模型训练</w:t>
      </w:r>
    </w:p>
    <w:p w14:paraId="6251DAF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28D990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本项目基座模型采用 Qwen 最新开源版本，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并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在系统层通过工具交互与上下文管理提升长任务表现。我们将训练工作聚焦在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数据形态对齐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+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轻量领域适配+奖励评估闭环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，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后续还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可将Reward Service与轨迹库用于on-policy强化学习，进一步提升工具调用策略与证据引用习惯的稳定性。</w:t>
      </w:r>
    </w:p>
    <w:p w14:paraId="73D798D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D348A7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五、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系统优化提升</w:t>
      </w:r>
    </w:p>
    <w:p w14:paraId="18A639B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73AFF64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5.1 技术优化</w:t>
      </w:r>
    </w:p>
    <w:p w14:paraId="55941BA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087EAD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技术优化的第一项工作是引入领域数据进行适配，使模型在面对研究型任务时更倾向于先规划再行动，并在输出中保持结构一致性。第二项工作是优化召回与排序，优先展示可信度更高、口径更清晰的来源，减少“噪声页面”进入上下文。第三项工作是对高风险内容进行事实核查：当答案包含关键数值或强结论时，系统倾向于触发二次检索或跨源对齐，并在存在口径差异时给出解释，而不是直接输出单一数字。</w:t>
      </w:r>
    </w:p>
    <w:p w14:paraId="39492D4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这些优化共同服务于一个目标：让模型在真实Web环境中更像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研究助理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，而不是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摘要器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。研究助理的产出质量不只由语言流畅性决定，还取决于来源可靠性、推导过程与结论边界的清晰度。</w:t>
      </w:r>
    </w:p>
    <w:p w14:paraId="0937D13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75A90E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5.2 环境扩充</w:t>
      </w:r>
    </w:p>
    <w:p w14:paraId="36051C1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874AEE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在DeepResearch的基础上，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我们在环境层面加入Python Interpreter与Google Scholar。Python用于将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计算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从语言层剥离出来，使CAGR等指标能由可复算代码得到，提高数值可靠性并减少幻觉。Scholar则在学术类问题中提供更稳定的权威入口，尤其适用于概念定义、方法溯源与论文级引用需求。工具扩充不仅提升了回答覆盖范围，也增强了输出的可解释性，因为工具返回的观察可以被直接纳入证据链。</w:t>
      </w:r>
    </w:p>
    <w:p w14:paraId="590B3A7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F6793D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5.3 效果变化</w:t>
      </w:r>
    </w:p>
    <w:p w14:paraId="281E129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33A04FF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从系统运行观测看，引入可信排序与事实核查后，模型更少出现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抓到一个来源就下结论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的行为；引入Python后，数值类问题的推导更稳定，且在输出中更容易附带计算过程；引入Scholar后，学术类检索的命中率与引用质量得到改善。整体而言，系统在准确率与效率上均有提升，并能覆盖更多需要多步推理与多源整合的任务类型。</w:t>
      </w:r>
    </w:p>
    <w:p w14:paraId="28297A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6773583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黑体" w:hAnsi="黑体" w:eastAsia="黑体" w:cs="黑体"/>
          <w:b/>
          <w:bCs/>
          <w:color w:val="auto"/>
          <w:sz w:val="32"/>
          <w:szCs w:val="32"/>
          <w:lang w:val="en-US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六、实验结果与评估</w:t>
      </w:r>
    </w:p>
    <w:p w14:paraId="3D5F79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3B490CC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 xml:space="preserve">6.1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实验案例</w:t>
      </w:r>
    </w:p>
    <w:p w14:paraId="628C4B8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99831F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我们选取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2020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-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2024年轻薄本市场调研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为代表性任务，是因为它同时包含开放域信息检索、多源证据整合、指标口径对齐、以及结构化写作等典型难点。系统需要先通过Search获取候选来源，再通过Visit阅读并抽取关键数据与事实，并在必要时调用Python对增长率、单位换算等进行核验。最终输出不应是一段泛泛而谈的回答，而应是具备章节层级、包含关键指标与趋势分析的简版研报。</w:t>
      </w:r>
    </w:p>
    <w:p w14:paraId="3B96832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从图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6.1、图6.2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可见，该任务执行过程中系统累计完成23轮交互，并调用工具10次。最终输出具备报告式结构，能够将市场规模、趋势变化与品牌格局等信息组织为分节内容，体现了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“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多轮证据收集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逐步综合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——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生成报告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eastAsia="zh-CN"/>
          <w14:ligatures w14:val="none"/>
        </w:rPr>
        <w:t>”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的研究型智能体工作方式。该案例验证了本项目系统链路能够在较长交互中保持目标一致性，并在工具调用与观察利用上形成闭环。</w:t>
      </w:r>
      <w:bookmarkStart w:id="0" w:name="_GoBack"/>
      <w:bookmarkEnd w:id="0"/>
    </w:p>
    <w:p w14:paraId="1E41FD4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DCA30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color w:val="auto"/>
        </w:rPr>
        <w:drawing>
          <wp:inline distT="0" distB="0" distL="114300" distR="114300">
            <wp:extent cx="5257165" cy="2681605"/>
            <wp:effectExtent l="0" t="0" r="635" b="4445"/>
            <wp:docPr id="4" name="图片 3" descr="微信图片_20251221215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微信图片_202512212152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6E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图6.1 系统界面（提问与思考）</w:t>
      </w:r>
    </w:p>
    <w:p w14:paraId="3BBF02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273040" cy="2689225"/>
            <wp:effectExtent l="0" t="0" r="10160" b="3175"/>
            <wp:docPr id="6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/>
          <w14:ligatures w14:val="none"/>
        </w:rPr>
        <w:t>图6.2 系统界面（回答）</w:t>
      </w:r>
    </w:p>
    <w:p w14:paraId="5F2C39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1"/>
          <w:szCs w:val="21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266690" cy="2174875"/>
            <wp:effectExtent l="0" t="0" r="0" b="0"/>
            <wp:docPr id="7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117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C8CE4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400" w:lineRule="exact"/>
        <w:jc w:val="center"/>
        <w:textAlignment w:val="auto"/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szCs w:val="24"/>
          <w:lang w:val="en-US" w:eastAsia="zh-CN"/>
          <w14:ligatures w14:val="none"/>
        </w:rPr>
        <w:t>表6.1 系统性能对比</w:t>
      </w:r>
    </w:p>
    <w:p w14:paraId="23E0E1E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szCs w:val="24"/>
          <w:lang w:val="en-US" w:eastAsia="zh-CN"/>
          <w14:ligatures w14:val="none"/>
        </w:rPr>
      </w:pPr>
    </w:p>
    <w:p w14:paraId="7897B6B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>6.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性能比较与评估</w:t>
      </w:r>
    </w:p>
    <w:p w14:paraId="260CA20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6F48E8E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表6.1展示了我们的系统在一些公开基准下与其它系统的性能对比。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该结果说明</w:t>
      </w: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我们的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系统不仅能完成端到端案例演示，还具备一定的可量化对比性能，尤其在需要流程化推理或结构化输出的任务上表现较好。</w:t>
      </w:r>
    </w:p>
    <w:p w14:paraId="4999A30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89D231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400" w:lineRule="exact"/>
        <w:jc w:val="both"/>
        <w:textAlignment w:val="auto"/>
        <w:outlineLvl w:val="1"/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:lang w:val="en-US" w:eastAsia="zh-CN"/>
          <w14:ligatures w14:val="none"/>
        </w:rPr>
        <w:t>七、</w:t>
      </w: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14:ligatures w14:val="none"/>
        </w:rPr>
        <w:t>小组分工</w:t>
      </w: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:lang w:val="en-US" w:eastAsia="zh-CN"/>
          <w14:ligatures w14:val="none"/>
        </w:rPr>
        <w:t>情况</w:t>
      </w:r>
    </w:p>
    <w:p w14:paraId="734E74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CF4825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杨晨：系统实现、期中汇报</w:t>
      </w:r>
    </w:p>
    <w:p w14:paraId="1410D60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杨智超：前端部署、系统调试</w:t>
      </w:r>
    </w:p>
    <w:p w14:paraId="5F80EE8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王煜祥：系统调试、期末汇报、报告撰写</w:t>
      </w:r>
    </w:p>
    <w:p w14:paraId="1648ED2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  <w:t>夏商周：系统调试、PPT制作、报告撰写</w:t>
      </w:r>
    </w:p>
    <w:p w14:paraId="38FE3DC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:lang w:val="en-US" w:eastAsia="zh-CN"/>
          <w14:ligatures w14:val="none"/>
        </w:rPr>
      </w:pPr>
    </w:p>
    <w:p w14:paraId="0496C58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6DA276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F7E7B6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30571B2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A3775F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1F3E872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418097A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285CFD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7B14362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69F7700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3FAA8B2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400" w:lineRule="exact"/>
        <w:jc w:val="both"/>
        <w:textAlignment w:val="auto"/>
        <w:outlineLvl w:val="1"/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14:ligatures w14:val="none"/>
        </w:rPr>
        <w:t>参考文献</w:t>
      </w:r>
    </w:p>
    <w:p w14:paraId="627844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5111F3A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both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[1] Tongyi Lab. (2025).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Tongyi DeepResearch: A New Era of Open Source AI Agents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[2] Yao, S., Zhao, J., Yu, D., Du, N., Shafran, I., et al. (2023).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ReAct: Synergizing Reasoning and Acting in Language Models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arXiv:2210.03629.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[3] Lewis, P., Perez, E., Piktus, A., Petroni, F., Karpukhin, V., et al. (2020).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Retrieval-Augmented Generation for Knowledge-Intensive NLP Tasks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NeurIPS 2020.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[4] Schulman, J., Wolski, F., Dhariwal, P., Radford, A., Klimov, O. (2017).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Proximal Policy Optimization Algorithms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arXiv:1707.06347.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[5] Ouyang, L., Wu, J., Jiang, X., Almeida, D., et al. (2022).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Training language models to follow instructions with human feedback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NeurIPS 2022.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[6] Kojima, T., Gu, S. S., Reid, M., Matsuo, Y., Iwasawa, Y. (2022).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Large Language Models are Zero-Shot Reasoners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NeurIPS 2022.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[7] Wei, J., Wang, X., Schuurmans, D., et al. (2022).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Chain-of-Thought Prompting Elicits Reasoning in Large Language Models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NeurIPS 2022.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[8] Creswell, A., Shanahan, M., et al. (2022).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Selection-Inference: Exploiting Large Language Models for Interpretable Logical Reasoning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arXiv:2205.09712.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[9] Mialon, G., Dessì, R., et al. (2023).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Augmented Language Models: a Survey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 arXiv:2302.07842.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[10] Qwen Team. (2024–2025). </w:t>
      </w:r>
      <w:r>
        <w:rPr>
          <w:rFonts w:hint="default" w:ascii="Times New Roman Regular" w:hAnsi="Times New Roman Regular" w:eastAsia="宋体" w:cs="Times New Roman Regular"/>
          <w:i/>
          <w:iCs/>
          <w:color w:val="auto"/>
          <w:kern w:val="0"/>
          <w:sz w:val="24"/>
          <w14:ligatures w14:val="none"/>
        </w:rPr>
        <w:t>Qwen (Open-Source Large Language Models) Technical Report / Model Card</w:t>
      </w:r>
      <w:r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  <w:t>.</w:t>
      </w:r>
    </w:p>
    <w:p w14:paraId="38BE08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 Regular" w:hAnsi="Times New Roman Regular" w:eastAsia="宋体" w:cs="Times New Roman Regular"/>
          <w:color w:val="auto"/>
          <w:kern w:val="0"/>
          <w:sz w:val="24"/>
          <w14:ligatures w14:val="none"/>
        </w:rPr>
      </w:pPr>
    </w:p>
    <w:p w14:paraId="59826690">
      <w:pPr>
        <w:rPr>
          <w:rFonts w:hint="default" w:ascii="Times New Roman Regular" w:hAnsi="Times New Roman Regular" w:eastAsia="宋体" w:cs="Times New Roman Regular"/>
          <w:color w:val="auto"/>
        </w:rPr>
      </w:pPr>
    </w:p>
    <w:p w14:paraId="67909AC2">
      <w:pP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3EB"/>
    <w:rsid w:val="00250B98"/>
    <w:rsid w:val="002D2B0B"/>
    <w:rsid w:val="0039747E"/>
    <w:rsid w:val="003C4243"/>
    <w:rsid w:val="004C59A7"/>
    <w:rsid w:val="005501D6"/>
    <w:rsid w:val="0057427A"/>
    <w:rsid w:val="006624FB"/>
    <w:rsid w:val="006E35D0"/>
    <w:rsid w:val="0077711E"/>
    <w:rsid w:val="007C2FF2"/>
    <w:rsid w:val="007F783A"/>
    <w:rsid w:val="00991BC6"/>
    <w:rsid w:val="00C53B30"/>
    <w:rsid w:val="00CF73EB"/>
    <w:rsid w:val="00EB27A9"/>
    <w:rsid w:val="11D3766A"/>
    <w:rsid w:val="1FF54C73"/>
    <w:rsid w:val="2C4F4EE1"/>
    <w:rsid w:val="3FFDAA00"/>
    <w:rsid w:val="46C868EF"/>
    <w:rsid w:val="5BFA2B0C"/>
    <w:rsid w:val="5CF75A83"/>
    <w:rsid w:val="5FCF2302"/>
    <w:rsid w:val="667EA74E"/>
    <w:rsid w:val="71FBC13A"/>
    <w:rsid w:val="7725023D"/>
    <w:rsid w:val="77B52B52"/>
    <w:rsid w:val="91B6B3E1"/>
    <w:rsid w:val="E6C7B235"/>
    <w:rsid w:val="F67BC92E"/>
    <w:rsid w:val="FAFF4597"/>
    <w:rsid w:val="FD7FEAFD"/>
    <w:rsid w:val="FFBF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Emphasis"/>
    <w:basedOn w:val="15"/>
    <w:qFormat/>
    <w:uiPriority w:val="20"/>
    <w:rPr>
      <w:i/>
      <w:iCs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ctionbutton--bx2md3rm"/>
    <w:basedOn w:val="15"/>
    <w:qFormat/>
    <w:uiPriority w:val="0"/>
  </w:style>
  <w:style w:type="character" w:customStyle="1" w:styleId="37">
    <w:name w:val="copybutton--qo2cm1zv"/>
    <w:basedOn w:val="15"/>
    <w:uiPriority w:val="0"/>
  </w:style>
  <w:style w:type="paragraph" w:customStyle="1" w:styleId="38">
    <w:name w:val="论文中文"/>
    <w:basedOn w:val="1"/>
    <w:qFormat/>
    <w:uiPriority w:val="0"/>
    <w:pPr>
      <w:widowControl/>
      <w:shd w:val="clear" w:color="auto" w:fill="FFFFFF"/>
      <w:wordWrap w:val="0"/>
      <w:spacing w:after="0" w:line="400" w:lineRule="exact"/>
      <w:ind w:firstLine="480" w:firstLineChars="200"/>
      <w:jc w:val="both"/>
    </w:pPr>
    <w:rPr>
      <w:rFonts w:hint="eastAsia" w:ascii="宋体" w:hAnsi="宋体" w:eastAsia="宋体" w:cs="宋体"/>
      <w:color w:val="auto"/>
      <w:kern w:val="0"/>
      <w:sz w:val="24"/>
      <w14:ligatures w14:val="none"/>
    </w:rPr>
  </w:style>
  <w:style w:type="paragraph" w:customStyle="1" w:styleId="39">
    <w:name w:val="论文英文"/>
    <w:basedOn w:val="1"/>
    <w:qFormat/>
    <w:uiPriority w:val="0"/>
    <w:pPr>
      <w:widowControl/>
      <w:shd w:val="clear" w:color="auto" w:fill="FFFFFF"/>
      <w:wordWrap w:val="0"/>
      <w:spacing w:after="0" w:line="400" w:lineRule="exact"/>
      <w:ind w:firstLine="480" w:firstLineChars="200"/>
      <w:jc w:val="both"/>
    </w:pPr>
    <w:rPr>
      <w:rFonts w:hint="default" w:ascii="Times New Roman" w:hAnsi="Times New Roman" w:eastAsia="TimesNewRoman" w:cs="宋体"/>
      <w:color w:val="auto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4514</Words>
  <Characters>5937</Characters>
  <Lines>58</Lines>
  <Paragraphs>16</Paragraphs>
  <TotalTime>53</TotalTime>
  <ScaleCrop>false</ScaleCrop>
  <LinksUpToDate>false</LinksUpToDate>
  <CharactersWithSpaces>6163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2026-01-06T15:50:00Z</dcterms:created>
  <dc:creator>stein</dc:creator>
  <cp:lastModifiedBy>johnsum</cp:lastModifiedBy>
  <dcterms:modified xsi:type="dcterms:W3CDTF">2026-01-07T04:46:36Z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9C113F57911CA82E7BCC5C698D39DBCD_42</vt:lpwstr>
  </property>
  <property fmtid="{D5CDD505-2E9C-101B-9397-08002B2CF9AE}" pid="4" name="KSOTemplateDocerSaveRecord">
    <vt:lpwstr>eyJoZGlkIjoiMzEwNTM5NzYwMDRjMzkwZTVkZjY2ODkwMGIxNGU0OTUiLCJ1c2VySWQiOiIxMTI0MzQzODQ5In0=</vt:lpwstr>
  </property>
</Properties>
</file>