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 w:hint="eastAsia"/>
          <w:b/>
          <w:bCs/>
          <w:sz w:val="32"/>
          <w:szCs w:val="32"/>
        </w:rPr>
        <w:t xml:space="preserve">ohos.permission.SUBSCRIBE_NOTIFICATION</w:t>
      </w:r>
    </w:p>
    <w:p>
      <w:pPr>
        <w:spacing w:after="320"/>
        <w:jc w:val="center"/>
      </w:pPr>
      <w:r>
        <w:rPr>
          <w:rFonts w:ascii="Arial" w:cs="Arial" w:eastAsia="Arial" w:hAnsi="Arial" w:hint="eastAsia"/>
          <w:b/>
          <w:bCs/>
          <w:sz w:val="32"/>
          <w:szCs w:val="32"/>
        </w:rPr>
        <w:t xml:space="preserve">权限申请补充说明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1"/>
                <w:szCs w:val="21"/>
              </w:rPr>
              <w:t xml:space="preserve">应用名称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 w:val="false"/>
                <w:bCs w:val="false"/>
                <w:sz w:val="21"/>
                <w:szCs w:val="21"/>
              </w:rPr>
              <w:t xml:space="preserve">PushLink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 w:val="false"/>
                <w:bCs w:val="false"/>
                <w:sz w:val="21"/>
                <w:szCs w:val="21"/>
              </w:rPr>
              <w:t xml:space="preserve">com.pushlink.app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1"/>
                <w:szCs w:val="21"/>
              </w:rPr>
              <w:t xml:space="preserve">申请权限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 w:val="false"/>
                <w:bCs w:val="false"/>
                <w:sz w:val="21"/>
                <w:szCs w:val="21"/>
              </w:rPr>
              <w:t xml:space="preserve">ohos.permission.SUBSCRIBE_NOTIFICATION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1"/>
                <w:szCs w:val="21"/>
              </w:rPr>
              <w:t xml:space="preserve">应用分类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 w:hint="eastAsia"/>
                <w:b w:val="false"/>
                <w:bCs w:val="false"/>
                <w:sz w:val="21"/>
                <w:szCs w:val="21"/>
              </w:rPr>
              <w:t xml:space="preserve">工具</w:t>
            </w:r>
          </w:p>
        </w:tc>
      </w:tr>
    </w:tbl>
    <w:p>
      <w:pPr>
        <w:spacing w:after="240"/>
      </w:pPr>
    </w:p>
    <w:p>
      <w:pPr>
        <w:spacing w:after="160" w:before="320"/>
      </w:pPr>
      <w:r>
        <w:rPr>
          <w:rFonts w:ascii="Arial" w:cs="Arial" w:eastAsia="Arial" w:hAnsi="Arial" w:hint="eastAsia"/>
          <w:b/>
          <w:bCs/>
          <w:sz w:val="28"/>
          <w:szCs w:val="28"/>
        </w:rPr>
        <w:t xml:space="preserve">一、应用功能与使用场景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PushLink 是一款面向双持用户的通知同步工具，服务于同时使用 HarmonyOS 手机与 iPhone 的个人用户。启用后，可将用户自行指定的应用通知，同步显示到本人的 iPhone 上。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典型使用场景：HarmonyOS 手机正在充电、放置于背包中或暂时不在身边时，用户通过随身携带的 iPhone 及时获知本机通知，避免错过重要信息。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这与用户通过智能手表查看手机通知属于同一类需求——将本机通知同步至用户随身的另一台设备。区别仅在于承载显示的设备是用户的另一部手机，而非腕上设备。通知的接收者自始至终是用户本人。</w:t>
      </w:r>
    </w:p>
    <w:p>
      <w:pPr>
        <w:spacing w:after="160" w:before="320"/>
      </w:pPr>
      <w:r>
        <w:rPr>
          <w:rFonts w:ascii="Arial" w:cs="Arial" w:eastAsia="Arial" w:hAnsi="Arial" w:hint="eastAsia"/>
          <w:b/>
          <w:bCs/>
          <w:sz w:val="28"/>
          <w:szCs w:val="28"/>
        </w:rPr>
        <w:t xml:space="preserve">二、为何必须使用本权限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实现通知同步，必须能够读取本机通知中心的内容。HarmonyOS 提供的 NotificationSubscriberExtensionAbility 是达成该目的的唯一公开能力，不存在可替代的接口。若无此权限，应用的核心功能无法成立。</w:t>
      </w:r>
    </w:p>
    <w:p>
      <w:pPr>
        <w:spacing w:after="160" w:before="320"/>
      </w:pPr>
      <w:r>
        <w:rPr>
          <w:rFonts w:ascii="Arial" w:cs="Arial" w:eastAsia="Arial" w:hAnsi="Arial" w:hint="eastAsia"/>
          <w:b/>
          <w:bCs/>
          <w:sz w:val="28"/>
          <w:szCs w:val="28"/>
        </w:rPr>
        <w:t xml:space="preserve">三、权限的使用方式与用户控制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读取范围有限。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仅在扩展回调中读取通知的标题、正文、来源包名与投递时间，不获取其他任何信息。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转发范围完全由用户决定。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应用调用系统提供的授权界面，由用户逐个勾选允许读取的应用。应用内不另设开关，也不维护第二份名单——系统授权列表是唯一依据。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过滤策略为默认拒绝。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未出现在系统授权列表中的来源、名单读取失败、名单为空，一律丢弃且不发送。应用不存在任何形式的默认放行。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区分应用分身。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白名单以「包名 + 应用索引」为键，确保对某一实例的授权不会误放行同一应用的另一实例。</w:t>
      </w:r>
    </w:p>
    <w:p>
      <w:pPr>
        <w:spacing w:after="160" w:before="320"/>
      </w:pPr>
      <w:r>
        <w:rPr>
          <w:rFonts w:ascii="Arial" w:cs="Arial" w:eastAsia="Arial" w:hAnsi="Arial" w:hint="eastAsia"/>
          <w:b/>
          <w:bCs/>
          <w:sz w:val="28"/>
          <w:szCs w:val="28"/>
        </w:rPr>
        <w:t xml:space="preserve">四、用户数据保护措施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以下均为已实现的技术措施，可在应用中验证，非承诺性表述。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1. 内容端到端加密，中转服务无法解密。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通知内容在离开设备前即以 AES-256-GCM 加密。加密密钥由用户在 HarmonyOS 手机与 iPhone 两端各自手动配置，不上传、不托管、不经过任何服务器。中转服务全程只能接触密文，传输路径上的任何一方均无法还原通知内容。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加密实现的正确性已通过 NIST SP 800-38D 标准测试向量逐字节比对验证：</w:t>
      </w:r>
    </w:p>
    <w:p>
      <w:pPr>
        <w:spacing w:after="60" w:line="3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全零密钥/IV、空明文：</w:t>
      </w:r>
    </w:p>
    <w:p>
      <w:pPr>
        <w:spacing w:after="60" w:line="3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530f8afbc74536b9a963b4f1c4cb738b</w:t>
      </w:r>
    </w:p>
    <w:p>
      <w:pPr>
        <w:spacing w:after="60" w:line="3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全零密钥/IV、16 字节全零明文：</w:t>
      </w:r>
    </w:p>
    <w:p>
      <w:pPr>
        <w:spacing w:after="60" w:line="3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cea7403d4d606b6e074ec5d3baf39d18d0d1c8a799996bf0265b98b5d48ab919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每条消息均使用密码学安全随机数生成独立的初始化向量，已验证连续 100 条无重复。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2. 不留存通知内容。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通知成功投递后立即从本地队列删除，不保存任何已发送通知的历史记录。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3. 诊断信息脱敏。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本地诊断记录仅包含事件标识、来源包名、投递结果、耗时与错误码，不含通知标题、正文、密文或任何密钥。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4. 数据不离开设备。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已移除应用的备份扩展能力，用户配置与待发队列不会随系统备份离开本机。本地数据库整库加密，密钥由系统安全环境托管并绑定本设备与本应用。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5. 日志无明文。</w:t>
      </w: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全部日志仅输出内容长度与掩码值，不输出通知标题、正文或任何密钥。该约束由统一的日志出口强制执行，并有自动化测试覆盖。</w:t>
      </w:r>
    </w:p>
    <w:p>
      <w:pPr>
        <w:spacing w:after="160" w:before="320"/>
      </w:pPr>
      <w:r>
        <w:rPr>
          <w:rFonts w:ascii="Arial" w:cs="Arial" w:eastAsia="Arial" w:hAnsi="Arial" w:hint="eastAsia"/>
          <w:b/>
          <w:bCs/>
          <w:sz w:val="28"/>
          <w:szCs w:val="28"/>
        </w:rPr>
        <w:t xml:space="preserve">五、通知的接收者始终是用户本人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本应用的同步目标是用户自己的另一台设备，不涉及向任何第三方披露通知内容，也不存在数据收集、分析或商业化利用。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应用不收费、无广告，不含任何统计或追踪组件。</w:t>
      </w:r>
    </w:p>
    <w:p>
      <w:pPr>
        <w:spacing w:after="160" w:before="320"/>
      </w:pPr>
      <w:r>
        <w:rPr>
          <w:rFonts w:ascii="Arial" w:cs="Arial" w:eastAsia="Arial" w:hAnsi="Arial" w:hint="eastAsia"/>
          <w:b/>
          <w:bCs/>
          <w:sz w:val="28"/>
          <w:szCs w:val="28"/>
        </w:rPr>
        <w:t xml:space="preserve">六、可验证性</w:t>
      </w:r>
    </w:p>
    <w:p>
      <w:pPr>
        <w:spacing w:after="120" w:line="360"/>
        <w:ind w:firstLine="48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应用包含 27 项自动化测试用例并全部通过，覆盖加密正确性（含上述 NIST 标准向量）、白名单默认拒绝、内容长度截断与事件标识稳定性等关键路径。如贵方需要，可提供完整测试报告与相关源码。</w:t>
      </w:r>
    </w:p>
    <w:p>
      <w:pPr>
        <w:spacing w:before="480"/>
      </w:pPr>
    </w:p>
    <w:p>
      <w:pPr>
        <w:spacing w:before="240"/>
        <w:jc w:val="righ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感谢审阅。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PushLink 权限申请补充说明</dc:title>
  <dc:creator>PushLink</dc:creator>
  <cp:lastModifiedBy>Un-named</cp:lastModifiedBy>
  <cp:revision>1</cp:revision>
  <dcterms:created xsi:type="dcterms:W3CDTF">2026-09-02T11:04:33.156Z</dcterms:created>
  <dcterms:modified xsi:type="dcterms:W3CDTF">2026-09-02T11:04:33.157Z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