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80759E">
      <w:pPr>
        <w:spacing w:before="0" w:after="40"/>
        <w:ind w:firstLine="0"/>
        <w:jc w:val="center"/>
        <w:rPr>
          <w:rFonts w:hint="eastAsia" w:eastAsia="宋体"/>
          <w:b/>
          <w:sz w:val="28"/>
          <w:lang w:val="en-US" w:eastAsia="zh-CN"/>
        </w:rPr>
      </w:pPr>
      <w:r>
        <w:rPr>
          <w:rFonts w:ascii="Times New Roman" w:hAnsi="Times New Roman"/>
          <w:b/>
          <w:sz w:val="28"/>
        </w:rPr>
        <w:t>Matrix-Free Deflation for Frozen-Subspace N</w:t>
      </w:r>
      <w:r>
        <w:rPr>
          <w:rFonts w:hint="eastAsia" w:eastAsia="宋体"/>
          <w:b/>
          <w:sz w:val="28"/>
          <w:lang w:val="en-US" w:eastAsia="zh-CN"/>
        </w:rPr>
        <w:t>atural</w:t>
      </w:r>
    </w:p>
    <w:p w14:paraId="0E5B6D75">
      <w:pPr>
        <w:spacing w:before="0" w:after="40"/>
        <w:ind w:firstLine="0"/>
        <w:jc w:val="center"/>
      </w:pPr>
      <w:r>
        <w:rPr>
          <w:rFonts w:ascii="Times New Roman" w:hAnsi="Times New Roman"/>
          <w:b/>
          <w:sz w:val="28"/>
        </w:rPr>
        <w:t xml:space="preserve"> Excited-State Variational Monte Carlo</w:t>
      </w:r>
    </w:p>
    <w:p w14:paraId="55E8467C">
      <w:pPr>
        <w:keepNext w:val="0"/>
        <w:keepLines w:val="0"/>
        <w:widowControl/>
        <w:suppressLineNumbers w:val="0"/>
        <w:jc w:val="center"/>
      </w:pPr>
      <w:r>
        <w:rPr>
          <w:rFonts w:ascii="Times New Roman" w:hAnsi="Times New Roman" w:eastAsia="Hiragino Mincho ProN" w:cs="Hiragino Mincho ProN"/>
          <w:b w:val="0"/>
          <w:sz w:val="22"/>
          <w:lang w:val="en-US" w:eastAsia="zh-CN"/>
        </w:rPr>
        <w:t>凍結部分空間自然励起状態変分モンテカルロ法における行列不要デフレーション</w:t>
      </w:r>
    </w:p>
    <w:p w14:paraId="15747997">
      <w:pPr>
        <w:spacing w:before="0" w:after="20"/>
        <w:ind w:firstLine="0"/>
        <w:jc w:val="center"/>
      </w:pPr>
      <w:r>
        <w:rPr>
          <w:rFonts w:ascii="Times New Roman" w:hAnsi="Times New Roman"/>
          <w:b w:val="0"/>
          <w:sz w:val="20"/>
        </w:rPr>
        <w:t>Supervising professor:  Prof. [name]</w:t>
      </w:r>
    </w:p>
    <w:p w14:paraId="72C6DBCE">
      <w:pPr>
        <w:spacing w:before="0" w:after="200"/>
        <w:ind w:firstLine="0"/>
        <w:jc w:val="center"/>
        <w:sectPr>
          <w:pgSz w:w="11906" w:h="16838"/>
          <w:pgMar w:top="850" w:right="964" w:bottom="907" w:left="964" w:header="567" w:footer="567" w:gutter="0"/>
          <w:cols w:space="340" w:num="1"/>
        </w:sectPr>
      </w:pPr>
      <w:r>
        <w:rPr>
          <w:rFonts w:ascii="Times New Roman" w:hAnsi="Times New Roman"/>
          <w:b w:val="0"/>
          <w:sz w:val="20"/>
        </w:rPr>
        <w:t>Student ID number:  [number]        Name:  [name]</w:t>
      </w:r>
    </w:p>
    <w:p w14:paraId="03A4E2DF">
      <w:pPr>
        <w:pStyle w:val="2"/>
      </w:pPr>
      <w:bookmarkStart w:id="0" w:name="introduction"/>
      <w:r>
        <w:rPr>
          <w:b/>
        </w:rPr>
        <w:t xml:space="preserve">1. </w:t>
      </w:r>
      <w:r>
        <w:t>Introduction</w:t>
      </w:r>
    </w:p>
    <w:p w14:paraId="1F30C6D4">
      <w:pPr>
        <w:pStyle w:val="23"/>
      </w:pPr>
      <w:r>
        <w:t xml:space="preserve">Electronic excited states are central to spectroscopy, photochemistry and materials modelling, yet they remain the weak point of </w:t>
      </w:r>
      <w:r>
        <w:rPr>
          <w:rFonts w:hint="eastAsia" w:eastAsia="宋体"/>
          <w:lang w:val="en-US" w:eastAsia="zh-CN"/>
        </w:rPr>
        <w:t>V</w:t>
      </w:r>
      <w:r>
        <w:t>ariational Monte Carlo (VMC). Full configuration interaction (FCI) is exact within a one-electron basis </w:t>
      </w:r>
      <w:r>
        <w:rPr>
          <w:vertAlign w:val="superscript"/>
        </w:rPr>
        <w:t>1)</w:t>
      </w:r>
      <w:r>
        <w:t xml:space="preserve"> but scales factorially, so practical calculations must rely on compact, explicitly correlated wave functions. Neural-network </w:t>
      </w:r>
      <w:r>
        <w:rPr>
          <w:rFonts w:hint="eastAsia" w:eastAsia="宋体"/>
          <w:lang w:val="en-US" w:eastAsia="zh-CN"/>
        </w:rPr>
        <w:t>Q</w:t>
      </w:r>
      <w:r>
        <w:t xml:space="preserve">uantum </w:t>
      </w:r>
      <w:r>
        <w:rPr>
          <w:rFonts w:hint="eastAsia" w:eastAsia="宋体"/>
          <w:lang w:val="en-US" w:eastAsia="zh-CN"/>
        </w:rPr>
        <w:t>S</w:t>
      </w:r>
      <w:r>
        <w:t>tates (NQS) </w:t>
      </w:r>
      <w:r>
        <w:rPr>
          <w:vertAlign w:val="superscript"/>
        </w:rPr>
        <w:t>2)</w:t>
      </w:r>
      <w:r>
        <w:t xml:space="preserve"> supply such wave functions: amplitudes and local energies are evaluated pointwise on configurati</w:t>
      </w:r>
      <w:bookmarkStart w:id="23" w:name="_GoBack"/>
      <w:bookmarkEnd w:id="23"/>
      <w:r>
        <w:t>ons drawn by Markov-chain Monte Carlo (MCMC) </w:t>
      </w:r>
      <w:r>
        <w:rPr>
          <w:vertAlign w:val="superscript"/>
        </w:rPr>
        <w:t>11)</w:t>
      </w:r>
      <w:r>
        <w:t>, the Hamiltonian acts through its sparse connection graph, and the parameters are optimised by stochastic reconfiguration (natural gradient) </w:t>
      </w:r>
      <w:r>
        <w:rPr>
          <w:vertAlign w:val="superscript"/>
        </w:rPr>
        <w:t>3,4)</w:t>
      </w:r>
      <w:r>
        <w:t xml:space="preserve">. Neither the state nor the Hamiltonian is ever stored as a </w:t>
      </w:r>
      <m:oMath>
        <m:sSup>
          <m:sSupPr/>
          <m:e>
            <m:r>
              <m:rPr/>
              <m:t>2</m:t>
            </m:r>
          </m:e>
          <m:sup>
            <m:r>
              <m:rPr/>
              <m:t>N</m:t>
            </m:r>
          </m:sup>
        </m:sSup>
      </m:oMath>
      <w:r>
        <w:t>-dimensional object, which is why NQS-VMC can reach Hilbert spaces far beyond exact diagonalisation.</w:t>
      </w:r>
    </w:p>
    <w:p w14:paraId="244EF17D">
      <w:pPr>
        <w:pStyle w:val="3"/>
      </w:pPr>
      <w:r>
        <w:t>Excited states break this scheme, because a Rayleigh quotient is minimised by the ground state. Standard remedies are orthogonalisation against lower states, penalty or variance-based functionals </w:t>
      </w:r>
      <w:r>
        <w:rPr>
          <w:vertAlign w:val="superscript"/>
        </w:rPr>
        <w:t>5,6)</w:t>
      </w:r>
      <w:r>
        <w:t>, and symmetry restriction </w:t>
      </w:r>
      <w:r>
        <w:rPr>
          <w:vertAlign w:val="superscript"/>
        </w:rPr>
        <w:t>7)</w:t>
      </w:r>
      <w:r>
        <w:t>. Natural excited-state VMC (NES-VMC) </w:t>
      </w:r>
      <w:r>
        <w:rPr>
          <w:vertAlign w:val="superscript"/>
        </w:rPr>
        <w:t>8)</w:t>
      </w:r>
      <w:r>
        <w:t xml:space="preserve"> instead optimises </w:t>
      </w:r>
      <m:oMath>
        <m:r>
          <m:rPr/>
          <m:t>K</m:t>
        </m:r>
      </m:oMath>
      <w:r>
        <w:t xml:space="preserve"> states jointly through a determinant on a </w:t>
      </w:r>
      <m:oMath>
        <m:r>
          <m:rPr/>
          <m:t>K</m:t>
        </m:r>
      </m:oMath>
      <w:r>
        <w:t xml:space="preserve">-fold replicated configuration space, so that </w:t>
      </w:r>
      <m:oMath>
        <m:r>
          <m:rPr/>
          <m:t>K</m:t>
        </m:r>
      </m:oMath>
      <w:r>
        <w:t xml:space="preserve"> eigenpairs are obtained from one MCMC run.</w:t>
      </w:r>
    </w:p>
    <w:p w14:paraId="2337CD54">
      <w:pPr>
        <w:pStyle w:val="3"/>
      </w:pPr>
      <w:r>
        <w:t xml:space="preserve">The price of joint optimisation is that all </w:t>
      </w:r>
      <m:oMath>
        <m:r>
          <m:rPr/>
          <m:t>K</m:t>
        </m:r>
      </m:oMath>
      <w:r>
        <w:t xml:space="preserve"> states are coupled: every additional state enlarges the replicated walker, the local-energy matrix, the parameter set and the stochastic-reconfiguration system, and it perturbs states that are already converged. In our </w:t>
      </w:r>
      <m:oMath>
        <m:sSub>
          <m:sSubPr>
            <m:ctrlPr>
              <w:rPr>
                <w:rFonts w:ascii="DejaVu Math TeX Gyre"/>
                <w:i w:val="0"/>
              </w:rPr>
            </m:ctrlPr>
          </m:sSubPr>
          <m:e>
            <m:r>
              <m:rPr>
                <m:sty m:val="p"/>
              </m:rPr>
              <w:rPr>
                <w:rFonts w:ascii="DejaVu Math TeX Gyre" w:hAnsi="DejaVu Math TeX Gyre" w:cs="Times New Roman"/>
                <w:sz w:val="20"/>
                <w:szCs w:val="24"/>
                <w:lang w:val="en-US" w:bidi="ar-SA"/>
              </w:rPr>
              <m:t>H</m:t>
            </m:r>
            <m:ctrlPr>
              <w:rPr>
                <w:rFonts w:ascii="DejaVu Math TeX Gyre"/>
                <w:i w:val="0"/>
              </w:rPr>
            </m:ctrlPr>
          </m:e>
          <m:sub>
            <m:r>
              <m:rPr>
                <m:sty m:val="p"/>
              </m:rPr>
              <w:rPr>
                <w:rFonts w:hint="default" w:ascii="DejaVu Math TeX Gyre" w:eastAsia="宋体"/>
                <w:lang w:val="en-US" w:eastAsia="zh-CN"/>
              </w:rPr>
              <m:t>2</m:t>
            </m:r>
            <m:ctrlPr>
              <w:rPr>
                <w:rFonts w:ascii="DejaVu Math TeX Gyre"/>
                <w:i w:val="0"/>
              </w:rPr>
            </m:ctrlPr>
          </m:sub>
        </m:sSub>
      </m:oMath>
      <w:r>
        <w:t>/6-31G calculations the two members of a spin-degenerate pair are typically the ones left behind, by up to 3.8 mHa, because they are nearly linearly dependent inside the determinant.</w:t>
      </w:r>
    </w:p>
    <w:p w14:paraId="4FB1B4CD">
      <w:pPr>
        <w:pStyle w:val="3"/>
      </w:pPr>
      <w:r>
        <w:t>The alternative, deflation, is the standard tool of iterative eigensolvers </w:t>
      </w:r>
      <w:r>
        <w:rPr>
          <w:vertAlign w:val="superscript"/>
        </w:rPr>
        <w:t>9)</w:t>
      </w:r>
      <w:r>
        <w:t xml:space="preserve"> and of embedded correlation methods </w:t>
      </w:r>
      <w:r>
        <w:rPr>
          <w:vertAlign w:val="superscript"/>
        </w:rPr>
        <w:t>10)</w:t>
      </w:r>
      <w:r>
        <w:t>: once a set of eigenpairs is known, new ones are computed in the complementary invariant subspace, and the known ones are never revisited. Applying it to neural quantum states is not a matter of transcription. A neural state exists only as a function, not as a vector; the projection coefficients are full-space inner products whose direct evaluation would reintroduce the exponential cost; the Hamiltonian is available only through its local connections; and sampling, estimator and gradient must remain mutually consistent after the projection.</w:t>
      </w:r>
    </w:p>
    <w:p w14:paraId="3C7D763D">
      <w:pPr>
        <w:pStyle w:val="3"/>
      </w:pPr>
      <w:r>
        <w:t xml:space="preserve">This work recycles instead of re-optimising. Once a small set of low-lying states is converged, they are </w:t>
      </w:r>
      <w:r>
        <w:rPr>
          <w:i/>
          <w:iCs/>
        </w:rPr>
        <w:t>frozen</w:t>
      </w:r>
      <w:r>
        <w:t xml:space="preserve"> and used as a fixed basis; only a few new states are optimised, and only in the orthogonal complement of that basis. The key difficulty is that a neural state is a function, not a vector: the projection requires Hilbert-space inner products between frozen and active columns, and a naive evaluation would reintroduce the exponential cost. We show that these coefficients can be obtained from Monte Carlo estimates of Gram matrices sampled on an auxiliary distribution, with the unknown normalisation cancelling exactly, and that the projection is then enforced automatically by the determinant – no </w:t>
      </w:r>
      <m:oMath>
        <m:sSup>
          <m:sSupPr/>
          <m:e>
            <m:r>
              <m:rPr/>
              <m:t>2</m:t>
            </m:r>
          </m:e>
          <m:sup>
            <m:r>
              <m:rPr/>
              <m:t>N</m:t>
            </m:r>
          </m:sup>
        </m:sSup>
      </m:oMath>
      <w:r>
        <w:t xml:space="preserve"> vector, no dense Hamiltonian and no explicit projector is ever formed. Section 2 develops the formulation, Section 3 reports H</w:t>
      </w:r>
      <m:oMath>
        <m:sSub>
          <m:sSubPr/>
          <m:e>
            <m:r>
              <m:rPr/>
              <m:t>​</m:t>
            </m:r>
          </m:e>
          <m:sub>
            <m:r>
              <m:rPr/>
              <m:t>2</m:t>
            </m:r>
          </m:sub>
        </m:sSub>
      </m:oMath>
      <w:r>
        <w:t>/6-31G and LiH/STO-3G results, and Sections 4–6 discuss limitations, conclusions and the research plan.</w:t>
      </w:r>
    </w:p>
    <w:bookmarkEnd w:id="0"/>
    <w:p w14:paraId="3EB39228">
      <w:pPr>
        <w:pStyle w:val="2"/>
      </w:pPr>
      <w:bookmarkStart w:id="1" w:name="method"/>
      <w:r>
        <w:rPr>
          <w:b/>
        </w:rPr>
        <w:t xml:space="preserve">2. </w:t>
      </w:r>
      <w:r>
        <w:t>Method</w:t>
      </w:r>
    </w:p>
    <w:p w14:paraId="3D627EF8">
      <w:pPr>
        <w:pStyle w:val="47"/>
        <w:spacing w:before="120" w:after="0"/>
        <w:ind w:firstLine="0"/>
        <w:jc w:val="center"/>
      </w:pPr>
      <w:bookmarkStart w:id="2" w:name="fig:flow"/>
      <w:r>
        <w:drawing>
          <wp:inline distT="0" distB="0" distL="114300" distR="114300">
            <wp:extent cx="2735580" cy="3500120"/>
            <wp:effectExtent l="0" t="0" r="0" b="0"/>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pic:cNvPicPr>
                      <a:picLocks noChangeAspect="1" noChangeArrowheads="1"/>
                    </pic:cNvPicPr>
                  </pic:nvPicPr>
                  <pic:blipFill>
                    <a:blip r:embed="rId6"/>
                    <a:stretch>
                      <a:fillRect/>
                    </a:stretch>
                  </pic:blipFill>
                  <pic:spPr>
                    <a:xfrm>
                      <a:off x="0" y="0"/>
                      <a:ext cx="2736000" cy="3500505"/>
                    </a:xfrm>
                    <a:prstGeom prst="rect">
                      <a:avLst/>
                    </a:prstGeom>
                    <a:noFill/>
                    <a:ln w="9525">
                      <a:noFill/>
                    </a:ln>
                  </pic:spPr>
                </pic:pic>
              </a:graphicData>
            </a:graphic>
          </wp:inline>
        </w:drawing>
      </w:r>
    </w:p>
    <w:p w14:paraId="70AD6AEE">
      <w:pPr>
        <w:pStyle w:val="45"/>
      </w:pPr>
      <w:r>
        <w:rPr>
          <w:b/>
          <w:sz w:val="17"/>
        </w:rPr>
        <w:t xml:space="preserve">Figure 1. </w:t>
      </w:r>
      <w:r>
        <w:rPr>
          <w:i w:val="0"/>
          <w:sz w:val="17"/>
        </w:rPr>
        <w:t xml:space="preserve">Matrix-free frozen-subspace expansion. A converged </w:t>
      </w:r>
      <m:oMath>
        <m:sSub>
          <m:sSubPr/>
          <m:e>
            <m:r>
              <m:rPr/>
              <m:t>K</m:t>
            </m:r>
          </m:e>
          <m:sub>
            <m:r>
              <m:rPr/>
              <m:t>0</m:t>
            </m:r>
          </m:sub>
        </m:sSub>
      </m:oMath>
      <w:r>
        <w:rPr>
          <w:i w:val="0"/>
          <w:sz w:val="17"/>
        </w:rPr>
        <w:t xml:space="preserve">-state solution is split into frozen columns (pointwise functions, stop-gradient) and a small number of fresh active columns; the projection coefficients come from an auxiliary sampler; the joint determinant enforces the projection implicitly; energies are extracted from a weighted generalised eigenproblem. No </w:t>
      </w:r>
      <m:oMath>
        <m:sSup>
          <m:sSupPr/>
          <m:e>
            <m:r>
              <m:rPr/>
              <m:t>2</m:t>
            </m:r>
          </m:e>
          <m:sup>
            <m:r>
              <m:rPr/>
              <m:t>N</m:t>
            </m:r>
          </m:sup>
        </m:sSup>
      </m:oMath>
      <w:r>
        <w:rPr>
          <w:i w:val="0"/>
          <w:sz w:val="17"/>
        </w:rPr>
        <w:t xml:space="preserve"> vector and no dense Hamiltonian appear at any stage.</w:t>
      </w:r>
    </w:p>
    <w:bookmarkEnd w:id="2"/>
    <w:p w14:paraId="378A1F81">
      <w:pPr>
        <w:pStyle w:val="3"/>
      </w:pPr>
      <w:r>
        <w:t>The overall construction is summarised in Fig. 1. The pipeline has five ingredients: (i) a converged joint solution that defines the frozen basis, (ii) pointwise frozen columns obtained by a small rotation of the old networks, (iii) Monte Carlo Gram matrices that fix the projection coefficients, (iv) a joint determinant in which the frozen block is constant, and (v) a weighted generalised eigenproblem that yields the physical energies and states.</w:t>
      </w:r>
    </w:p>
    <w:p w14:paraId="42EF4CCB">
      <w:pPr>
        <w:pStyle w:val="4"/>
      </w:pPr>
      <w:bookmarkStart w:id="3" w:name="nes-vmc-in-matrix-free-form"/>
      <w:r>
        <w:rPr>
          <w:b/>
        </w:rPr>
        <w:t xml:space="preserve">2.1  </w:t>
      </w:r>
      <w:r>
        <w:t>NES-VMC in matrix-free form</w:t>
      </w:r>
    </w:p>
    <w:p w14:paraId="2018F162">
      <w:pPr>
        <w:pStyle w:val="23"/>
      </w:pPr>
      <w:r>
        <w:t xml:space="preserve">In NES-VMC the </w:t>
      </w:r>
      <m:oMath>
        <m:r>
          <m:rPr/>
          <m:t>K</m:t>
        </m:r>
      </m:oMath>
      <w:r>
        <w:t xml:space="preserve"> single-state wave functions </w:t>
      </w:r>
      <m:oMath>
        <m:sSub>
          <m:sSubPr/>
          <m:e>
            <m:r>
              <m:rPr/>
              <m:t>ψ</m:t>
            </m:r>
          </m:e>
          <m:sub>
            <m:r>
              <m:rPr/>
              <m:t>0</m:t>
            </m:r>
          </m:sub>
        </m:sSub>
        <m:r>
          <m:rPr>
            <m:sty m:val="p"/>
          </m:rPr>
          <m:t>,…,</m:t>
        </m:r>
        <m:sSub>
          <m:sSubPr/>
          <m:e>
            <m:r>
              <m:rPr/>
              <m:t>ψ</m:t>
            </m:r>
          </m:e>
          <m:sub>
            <m:r>
              <m:rPr/>
              <m:t>K</m:t>
            </m:r>
            <m:r>
              <m:rPr>
                <m:sty m:val="p"/>
              </m:rPr>
              <m:t>−</m:t>
            </m:r>
            <m:r>
              <m:rPr/>
              <m:t>1</m:t>
            </m:r>
          </m:sub>
        </m:sSub>
      </m:oMath>
      <w:r>
        <w:t xml:space="preserve"> are combined into a determinant on replicated configurations </w:t>
      </w:r>
      <m:oMath>
        <m:r>
          <m:rPr>
            <m:sty m:val="b"/>
          </m:rPr>
          <m:t>x</m:t>
        </m:r>
        <m:r>
          <m:rPr>
            <m:sty m:val="p"/>
          </m:rPr>
          <m:t>=</m:t>
        </m:r>
        <m:d>
          <m:dPr>
            <m:sepChr m:val=""/>
          </m:dPr>
          <m:e>
            <m:sSub>
              <m:sSubPr/>
              <m:e>
                <m:r>
                  <m:rPr>
                    <m:sty m:val="b"/>
                  </m:rPr>
                  <m:t>x</m:t>
                </m:r>
              </m:e>
              <m:sub>
                <m:r>
                  <m:rPr/>
                  <m:t>1</m:t>
                </m:r>
              </m:sub>
            </m:sSub>
            <m:r>
              <m:rPr>
                <m:sty m:val="p"/>
              </m:rPr>
              <m:t>,…,</m:t>
            </m:r>
            <m:sSub>
              <m:sSubPr/>
              <m:e>
                <m:r>
                  <m:rPr>
                    <m:sty m:val="b"/>
                  </m:rPr>
                  <m:t>x</m:t>
                </m:r>
              </m:e>
              <m:sub>
                <m:r>
                  <m:rPr/>
                  <m:t>K</m:t>
                </m:r>
              </m:sub>
            </m:sSub>
          </m:e>
        </m:d>
      </m:oMath>
      <w:r>
        <w:t>,</w:t>
      </w:r>
    </w:p>
    <w:tbl>
      <w:tblPr>
        <w:tblStyle w:val="18"/>
        <w:tblW w:w="48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10"/>
        <w:gridCol w:w="3628"/>
        <w:gridCol w:w="680"/>
      </w:tblGrid>
      <w:tr w14:paraId="59589B8F">
        <w:trPr>
          <w:cantSplit/>
          <w:trHeight w:val="240" w:hRule="atLeast"/>
          <w:jc w:val="center"/>
        </w:trPr>
        <w:tc>
          <w:tcPr>
            <w:tcW w:w="510" w:type="dxa"/>
            <w:vAlign w:val="center"/>
          </w:tcPr>
          <w:p w14:paraId="2D7B099F">
            <w:pPr>
              <w:spacing w:before="40" w:after="40" w:line="240" w:lineRule="auto"/>
              <w:ind w:left="0" w:right="0" w:firstLine="0"/>
              <w:jc w:val="left"/>
            </w:pPr>
          </w:p>
        </w:tc>
        <w:tc>
          <w:tcPr>
            <w:tcW w:w="3628" w:type="dxa"/>
            <w:vAlign w:val="center"/>
          </w:tcPr>
          <w:p w14:paraId="33EAAD62">
            <w:pPr>
              <w:spacing w:before="40" w:after="40" w:line="240" w:lineRule="auto"/>
              <w:ind w:left="0" w:right="0" w:firstLine="0"/>
              <w:jc w:val="center"/>
            </w:pPr>
            <m:oMathPara>
              <m:oMath>
                <m:sSub>
                  <m:sSubPr/>
                  <m:e>
                    <m:r>
                      <m:rPr/>
                      <m:t>Ψ</m:t>
                    </m:r>
                  </m:e>
                  <m:sub>
                    <m:r>
                      <m:rPr/>
                      <m:t>θ</m:t>
                    </m:r>
                  </m:sub>
                </m:sSub>
                <m:d>
                  <m:dPr>
                    <m:sepChr m:val=""/>
                  </m:dPr>
                  <m:e>
                    <m:r>
                      <m:rPr>
                        <m:sty m:val="b"/>
                      </m:rPr>
                      <m:t>x</m:t>
                    </m:r>
                  </m:e>
                </m:d>
                <m:r>
                  <m:rPr>
                    <m:sty m:val="p"/>
                  </m:rPr>
                  <m:t>=det[</m:t>
                </m:r>
                <m:sSub>
                  <m:sSubPr/>
                  <m:e>
                    <m:r>
                      <m:rPr/>
                      <m:t>ψ</m:t>
                    </m:r>
                  </m:e>
                  <m:sub>
                    <m:r>
                      <m:rPr/>
                      <m:t>j</m:t>
                    </m:r>
                  </m:sub>
                </m:sSub>
                <m:d>
                  <m:dPr>
                    <m:sepChr m:val=""/>
                  </m:dPr>
                  <m:e>
                    <m:sSub>
                      <m:sSubPr/>
                      <m:e>
                        <m:r>
                          <m:rPr>
                            <m:sty m:val="b"/>
                          </m:rPr>
                          <m:t>x</m:t>
                        </m:r>
                      </m:e>
                      <m:sub>
                        <m:r>
                          <m:rPr/>
                          <m:t>i</m:t>
                        </m:r>
                      </m:sub>
                    </m:sSub>
                  </m:e>
                </m:d>
                <m:sSubSup>
                  <m:sSubSupPr/>
                  <m:e>
                    <m:r>
                      <m:rPr>
                        <m:sty m:val="p"/>
                      </m:rPr>
                      <m:t>]</m:t>
                    </m:r>
                  </m:e>
                  <m:sub>
                    <m:r>
                      <m:rPr/>
                      <m:t>i</m:t>
                    </m:r>
                    <m:r>
                      <m:rPr>
                        <m:sty m:val="p"/>
                      </m:rPr>
                      <m:t>,</m:t>
                    </m:r>
                    <m:r>
                      <m:rPr/>
                      <m:t>j</m:t>
                    </m:r>
                    <m:r>
                      <m:rPr>
                        <m:sty m:val="p"/>
                      </m:rPr>
                      <m:t>=</m:t>
                    </m:r>
                    <m:r>
                      <m:rPr/>
                      <m:t>0</m:t>
                    </m:r>
                  </m:sub>
                  <m:sup>
                    <m:r>
                      <m:rPr/>
                      <m:t>K</m:t>
                    </m:r>
                    <m:r>
                      <m:rPr>
                        <m:sty m:val="p"/>
                      </m:rPr>
                      <m:t>−</m:t>
                    </m:r>
                    <m:r>
                      <m:rPr/>
                      <m:t>1</m:t>
                    </m:r>
                  </m:sup>
                </m:sSubSup>
                <m:r>
                  <m:rPr>
                    <m:sty m:val="p"/>
                  </m:rPr>
                  <m:t>,</m:t>
                </m:r>
              </m:oMath>
            </m:oMathPara>
          </w:p>
        </w:tc>
        <w:tc>
          <w:tcPr>
            <w:tcW w:w="680" w:type="dxa"/>
            <w:vAlign w:val="center"/>
          </w:tcPr>
          <w:p w14:paraId="535413E7">
            <w:pPr>
              <w:spacing w:before="40" w:after="40" w:line="240" w:lineRule="auto"/>
              <w:ind w:left="0" w:right="0" w:firstLine="0"/>
              <w:jc w:val="right"/>
            </w:pPr>
            <w:r>
              <w:rPr>
                <w:rFonts w:ascii="Times New Roman" w:hAnsi="Times New Roman"/>
                <w:sz w:val="20"/>
              </w:rPr>
              <w:t>(1)</w:t>
            </w:r>
          </w:p>
        </w:tc>
      </w:tr>
    </w:tbl>
    <w:p w14:paraId="4BA60E75">
      <w:pPr>
        <w:pStyle w:val="23"/>
      </w:pPr>
      <w:r>
        <w:t xml:space="preserve">and for each replica the amplitudes </w:t>
      </w:r>
      <m:oMath>
        <m:sSub>
          <m:sSubPr/>
          <m:e>
            <m:r>
              <m:rPr/>
              <m:t>A</m:t>
            </m:r>
          </m:e>
          <m:sub>
            <m:r>
              <m:rPr/>
              <m:t>ij</m:t>
            </m:r>
          </m:sub>
        </m:sSub>
        <m:r>
          <m:rPr>
            <m:sty m:val="p"/>
          </m:rPr>
          <m:t>=</m:t>
        </m:r>
        <m:sSub>
          <m:sSubPr/>
          <m:e>
            <m:r>
              <m:rPr/>
              <m:t>ψ</m:t>
            </m:r>
          </m:e>
          <m:sub>
            <m:r>
              <m:rPr/>
              <m:t>j</m:t>
            </m:r>
          </m:sub>
        </m:sSub>
        <m:d>
          <m:dPr>
            <m:sepChr m:val=""/>
          </m:dPr>
          <m:e>
            <m:sSub>
              <m:sSubPr/>
              <m:e>
                <m:r>
                  <m:rPr>
                    <m:sty m:val="b"/>
                  </m:rPr>
                  <m:t>x</m:t>
                </m:r>
              </m:e>
              <m:sub>
                <m:r>
                  <m:rPr/>
                  <m:t>i</m:t>
                </m:r>
              </m:sub>
            </m:sSub>
          </m:e>
        </m:d>
      </m:oMath>
      <w:r>
        <w:t xml:space="preserve">, the Hamiltonian action </w:t>
      </w:r>
      <m:oMath>
        <m:sSub>
          <m:sSubPr/>
          <m:e>
            <m:r>
              <m:rPr/>
              <m:t>Z</m:t>
            </m:r>
          </m:e>
          <m:sub>
            <m:r>
              <m:rPr/>
              <m:t>ij</m:t>
            </m:r>
          </m:sub>
        </m:sSub>
        <m:r>
          <m:rPr>
            <m:sty m:val="p"/>
          </m:rPr>
          <m:t>=</m:t>
        </m:r>
        <m:d>
          <m:dPr>
            <m:sepChr m:val=""/>
          </m:dPr>
          <m:e>
            <m:r>
              <m:rPr/>
              <m:t>H</m:t>
            </m:r>
            <m:sSub>
              <m:sSubPr/>
              <m:e>
                <m:r>
                  <m:rPr/>
                  <m:t>ψ</m:t>
                </m:r>
              </m:e>
              <m:sub>
                <m:r>
                  <m:rPr/>
                  <m:t>j</m:t>
                </m:r>
              </m:sub>
            </m:sSub>
          </m:e>
        </m:d>
        <m:d>
          <m:dPr>
            <m:sepChr m:val=""/>
          </m:dPr>
          <m:e>
            <m:sSub>
              <m:sSubPr/>
              <m:e>
                <m:r>
                  <m:rPr>
                    <m:sty m:val="b"/>
                  </m:rPr>
                  <m:t>x</m:t>
                </m:r>
              </m:e>
              <m:sub>
                <m:r>
                  <m:rPr/>
                  <m:t>i</m:t>
                </m:r>
              </m:sub>
            </m:sSub>
          </m:e>
        </m:d>
      </m:oMath>
      <w:r>
        <w:t xml:space="preserve"> and the local-energy matrix </w:t>
      </w:r>
      <m:oMath>
        <m:sSub>
          <m:sSubPr/>
          <m:e>
            <m:r>
              <m:rPr/>
              <m:t>E</m:t>
            </m:r>
          </m:e>
          <m:sub>
            <m:r>
              <m:rPr/>
              <m:t>L</m:t>
            </m:r>
          </m:sub>
        </m:sSub>
        <m:r>
          <m:rPr>
            <m:sty m:val="p"/>
          </m:rPr>
          <m:t>=</m:t>
        </m:r>
        <m:sSup>
          <m:sSupPr/>
          <m:e>
            <m:r>
              <m:rPr/>
              <m:t>A</m:t>
            </m:r>
          </m:e>
          <m:sup>
            <m:r>
              <m:rPr>
                <m:sty m:val="p"/>
              </m:rPr>
              <m:t>−</m:t>
            </m:r>
            <m:r>
              <m:rPr/>
              <m:t>1</m:t>
            </m:r>
          </m:sup>
        </m:sSup>
        <m:r>
          <m:rPr/>
          <m:t>Z</m:t>
        </m:r>
      </m:oMath>
      <w:r>
        <w:t xml:space="preserve"> define the loss</w:t>
      </w:r>
    </w:p>
    <w:tbl>
      <w:tblPr>
        <w:tblStyle w:val="18"/>
        <w:tblW w:w="48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10"/>
        <w:gridCol w:w="3628"/>
        <w:gridCol w:w="680"/>
      </w:tblGrid>
      <w:tr w14:paraId="61972E12">
        <w:trPr>
          <w:cantSplit/>
          <w:trHeight w:val="240" w:hRule="atLeast"/>
          <w:jc w:val="center"/>
        </w:trPr>
        <w:tc>
          <w:tcPr>
            <w:tcW w:w="510" w:type="dxa"/>
            <w:vAlign w:val="center"/>
          </w:tcPr>
          <w:p w14:paraId="619A95EC">
            <w:pPr>
              <w:spacing w:before="40" w:after="40" w:line="240" w:lineRule="auto"/>
              <w:ind w:left="0" w:right="0" w:firstLine="0"/>
              <w:jc w:val="left"/>
            </w:pPr>
          </w:p>
        </w:tc>
        <w:tc>
          <w:tcPr>
            <w:tcW w:w="3628" w:type="dxa"/>
            <w:vAlign w:val="center"/>
          </w:tcPr>
          <w:p w14:paraId="7A48652B">
            <w:pPr>
              <w:spacing w:before="40" w:after="40" w:line="240" w:lineRule="auto"/>
              <w:ind w:left="0" w:right="0" w:firstLine="0"/>
              <w:jc w:val="center"/>
            </w:pPr>
            <m:oMathPara>
              <m:oMath>
                <m:r>
                  <m:rPr>
                    <m:sty m:val="p"/>
                    <m:scr m:val="script"/>
                  </m:rPr>
                  <m:t>ℒ</m:t>
                </m:r>
                <m:d>
                  <m:dPr>
                    <m:sepChr m:val=""/>
                  </m:dPr>
                  <m:e>
                    <m:r>
                      <m:rPr/>
                      <m:t>θ</m:t>
                    </m:r>
                  </m:e>
                </m:d>
                <m:r>
                  <m:rPr>
                    <m:sty m:val="p"/>
                  </m:rPr>
                  <m:t>=Retr⟨</m:t>
                </m:r>
                <m:sSub>
                  <m:sSubPr/>
                  <m:e>
                    <m:r>
                      <m:rPr/>
                      <m:t>E</m:t>
                    </m:r>
                  </m:e>
                  <m:sub>
                    <m:r>
                      <m:rPr/>
                      <m:t>L</m:t>
                    </m:r>
                  </m:sub>
                </m:sSub>
                <m:r>
                  <m:rPr>
                    <m:sty m:val="p"/>
                  </m:rPr>
                  <m:t>⟩.</m:t>
                </m:r>
              </m:oMath>
            </m:oMathPara>
          </w:p>
        </w:tc>
        <w:tc>
          <w:tcPr>
            <w:tcW w:w="680" w:type="dxa"/>
            <w:vAlign w:val="center"/>
          </w:tcPr>
          <w:p w14:paraId="69D0C03E">
            <w:pPr>
              <w:spacing w:before="40" w:after="40" w:line="240" w:lineRule="auto"/>
              <w:ind w:left="0" w:right="0" w:firstLine="0"/>
              <w:jc w:val="right"/>
            </w:pPr>
            <w:r>
              <w:rPr>
                <w:rFonts w:ascii="Times New Roman" w:hAnsi="Times New Roman"/>
                <w:sz w:val="20"/>
              </w:rPr>
              <w:t>(2)</w:t>
            </w:r>
          </w:p>
        </w:tc>
      </w:tr>
    </w:tbl>
    <w:p w14:paraId="2C1FE776">
      <w:pPr>
        <w:pStyle w:val="23"/>
      </w:pPr>
      <w:r>
        <w:t xml:space="preserve">The physical states and energies follow from the subspace Ritz problem, with </w:t>
      </w:r>
      <m:oMath>
        <m:sSub>
          <m:sSubPr/>
          <m:e>
            <m:r>
              <m:rPr/>
              <m:t>S</m:t>
            </m:r>
          </m:e>
          <m:sub>
            <m:r>
              <m:rPr/>
              <m:t>ij</m:t>
            </m:r>
          </m:sub>
        </m:sSub>
        <m:r>
          <m:rPr>
            <m:sty m:val="p"/>
          </m:rPr>
          <m:t>=⟨</m:t>
        </m:r>
        <m:sSub>
          <m:sSubPr/>
          <m:e>
            <m:r>
              <m:rPr/>
              <m:t>ψ</m:t>
            </m:r>
          </m:e>
          <m:sub>
            <m:r>
              <m:rPr/>
              <m:t>i</m:t>
            </m:r>
          </m:sub>
        </m:sSub>
        <m:r>
          <m:rPr>
            <m:sty m:val="p"/>
          </m:rPr>
          <m:t>|</m:t>
        </m:r>
        <m:sSub>
          <m:sSubPr/>
          <m:e>
            <m:r>
              <m:rPr/>
              <m:t>ψ</m:t>
            </m:r>
          </m:e>
          <m:sub>
            <m:r>
              <m:rPr/>
              <m:t>j</m:t>
            </m:r>
          </m:sub>
        </m:sSub>
        <m:r>
          <m:rPr>
            <m:sty m:val="p"/>
          </m:rPr>
          <m:t>⟩</m:t>
        </m:r>
      </m:oMath>
      <w:r>
        <w:t xml:space="preserve"> and </w:t>
      </w:r>
      <m:oMath>
        <m:sSub>
          <m:sSubPr/>
          <m:e>
            <m:r>
              <m:rPr/>
              <m:t>M</m:t>
            </m:r>
          </m:e>
          <m:sub>
            <m:r>
              <m:rPr/>
              <m:t>ij</m:t>
            </m:r>
          </m:sub>
        </m:sSub>
        <m:r>
          <m:rPr>
            <m:sty m:val="p"/>
          </m:rPr>
          <m:t>=⟨</m:t>
        </m:r>
        <m:sSub>
          <m:sSubPr/>
          <m:e>
            <m:r>
              <m:rPr/>
              <m:t>ψ</m:t>
            </m:r>
          </m:e>
          <m:sub>
            <m:r>
              <m:rPr/>
              <m:t>i</m:t>
            </m:r>
          </m:sub>
        </m:sSub>
        <m:r>
          <m:rPr>
            <m:sty m:val="p"/>
          </m:rPr>
          <m:t>|</m:t>
        </m:r>
        <m:r>
          <m:rPr/>
          <m:t>H</m:t>
        </m:r>
        <m:r>
          <m:rPr>
            <m:sty m:val="p"/>
          </m:rPr>
          <m:t>|</m:t>
        </m:r>
        <m:sSub>
          <m:sSubPr/>
          <m:e>
            <m:r>
              <m:rPr/>
              <m:t>ψ</m:t>
            </m:r>
          </m:e>
          <m:sub>
            <m:r>
              <m:rPr/>
              <m:t>j</m:t>
            </m:r>
          </m:sub>
        </m:sSub>
        <m:r>
          <m:rPr>
            <m:sty m:val="p"/>
          </m:rPr>
          <m:t>⟩</m:t>
        </m:r>
      </m:oMath>
      <w:r>
        <w:t>,</w:t>
      </w:r>
    </w:p>
    <w:tbl>
      <w:tblPr>
        <w:tblStyle w:val="18"/>
        <w:tblW w:w="48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10"/>
        <w:gridCol w:w="3628"/>
        <w:gridCol w:w="680"/>
      </w:tblGrid>
      <w:tr w14:paraId="595E6723">
        <w:trPr>
          <w:cantSplit/>
          <w:trHeight w:val="240" w:hRule="atLeast"/>
          <w:jc w:val="center"/>
        </w:trPr>
        <w:tc>
          <w:tcPr>
            <w:tcW w:w="510" w:type="dxa"/>
            <w:vAlign w:val="center"/>
          </w:tcPr>
          <w:p w14:paraId="76AE7B43">
            <w:pPr>
              <w:spacing w:before="40" w:after="40" w:line="240" w:lineRule="auto"/>
              <w:ind w:left="0" w:right="0" w:firstLine="0"/>
              <w:jc w:val="left"/>
            </w:pPr>
          </w:p>
        </w:tc>
        <w:tc>
          <w:tcPr>
            <w:tcW w:w="3628" w:type="dxa"/>
            <w:vAlign w:val="center"/>
          </w:tcPr>
          <w:p w14:paraId="35A3A111">
            <w:pPr>
              <w:spacing w:before="40" w:after="40" w:line="240" w:lineRule="auto"/>
              <w:ind w:left="0" w:right="0" w:firstLine="0"/>
              <w:jc w:val="center"/>
            </w:pPr>
            <m:oMathPara>
              <m:oMath>
                <m:r>
                  <m:rPr/>
                  <m:t>Mv</m:t>
                </m:r>
                <m:r>
                  <m:rPr>
                    <m:sty m:val="p"/>
                  </m:rPr>
                  <m:t>=</m:t>
                </m:r>
                <m:r>
                  <m:rPr/>
                  <m:t>λSv</m:t>
                </m:r>
                <m:r>
                  <m:rPr>
                    <m:sty m:val="p"/>
                  </m:rPr>
                  <m:t>,</m:t>
                </m:r>
              </m:oMath>
            </m:oMathPara>
          </w:p>
        </w:tc>
        <w:tc>
          <w:tcPr>
            <w:tcW w:w="680" w:type="dxa"/>
            <w:vAlign w:val="center"/>
          </w:tcPr>
          <w:p w14:paraId="25EA0994">
            <w:pPr>
              <w:spacing w:before="40" w:after="40" w:line="240" w:lineRule="auto"/>
              <w:ind w:left="0" w:right="0" w:firstLine="0"/>
              <w:jc w:val="right"/>
            </w:pPr>
            <w:r>
              <w:rPr>
                <w:rFonts w:ascii="Times New Roman" w:hAnsi="Times New Roman"/>
                <w:sz w:val="20"/>
              </w:rPr>
              <w:t>(3)</w:t>
            </w:r>
          </w:p>
        </w:tc>
      </w:tr>
    </w:tbl>
    <w:p w14:paraId="2C7ED2DF">
      <w:pPr>
        <w:pStyle w:val="23"/>
      </w:pPr>
      <w:r>
        <w:t xml:space="preserve">estimated on the sampled configurations. No matrix element is ever evaluated in the full Hilbert space; </w:t>
      </w:r>
      <m:oMath>
        <m:r>
          <m:rPr/>
          <m:t>H</m:t>
        </m:r>
        <m:sSub>
          <m:sSubPr/>
          <m:e>
            <m:r>
              <m:rPr/>
              <m:t>ψ</m:t>
            </m:r>
          </m:e>
          <m:sub>
            <m:r>
              <m:rPr/>
              <m:t>j</m:t>
            </m:r>
          </m:sub>
        </m:sSub>
      </m:oMath>
      <w:r>
        <w:t xml:space="preserve"> is obtained from the local connections of </w:t>
      </w:r>
      <m:oMath>
        <m:sSub>
          <m:sSubPr/>
          <m:e>
            <m:r>
              <m:rPr>
                <m:sty m:val="b"/>
              </m:rPr>
              <m:t>x</m:t>
            </m:r>
          </m:e>
          <m:sub>
            <m:r>
              <m:rPr/>
              <m:t>i</m:t>
            </m:r>
          </m:sub>
        </m:sSub>
      </m:oMath>
      <w:r>
        <w:t>.</w:t>
      </w:r>
    </w:p>
    <w:p w14:paraId="693FE795">
      <w:pPr>
        <w:pStyle w:val="3"/>
      </w:pPr>
      <w:r>
        <w:t xml:space="preserve">Two cost statements follow directly from Eqs. (1)–(3). The replicated walker is </w:t>
      </w:r>
      <m:oMath>
        <m:r>
          <m:rPr/>
          <m:t>K</m:t>
        </m:r>
      </m:oMath>
      <w:r>
        <w:t xml:space="preserve"> configurations of </w:t>
      </w:r>
      <m:oMath>
        <m:r>
          <m:rPr/>
          <m:t>N</m:t>
        </m:r>
      </m:oMath>
      <w:r>
        <w:t xml:space="preserve"> spin orbitals, so the sampling cost is linear in </w:t>
      </w:r>
      <m:oMath>
        <m:r>
          <m:rPr/>
          <m:t>K</m:t>
        </m:r>
      </m:oMath>
      <w:r>
        <w:t xml:space="preserve"> and linear in the number of local connections per configuration; the local-energy matrix is </w:t>
      </w:r>
      <m:oMath>
        <m:r>
          <m:rPr/>
          <m:t>K</m:t>
        </m:r>
        <m:r>
          <m:rPr>
            <m:sty m:val="p"/>
          </m:rPr>
          <m:t>×</m:t>
        </m:r>
        <m:r>
          <m:rPr/>
          <m:t>K</m:t>
        </m:r>
      </m:oMath>
      <w:r>
        <w:t xml:space="preserve">, and its inversion supplies both the loss and the gradient. The problematic term is the parameter set: all </w:t>
      </w:r>
      <m:oMath>
        <m:r>
          <m:rPr/>
          <m:t>K</m:t>
        </m:r>
      </m:oMath>
      <w:r>
        <w:t xml:space="preserve"> networks are optimised simultaneously, so the stochastic-reconfiguration system has dimension </w:t>
      </w:r>
      <m:oMath>
        <m:r>
          <m:rPr/>
          <m:t>K</m:t>
        </m:r>
      </m:oMath>
      <w:r>
        <w:t xml:space="preserve"> times the single-network parameter count, and the number of variational parameters – not the Hilbert-space dimension – is what limits the practical value of </w:t>
      </w:r>
      <m:oMath>
        <m:r>
          <m:rPr/>
          <m:t>K</m:t>
        </m:r>
      </m:oMath>
      <w:r>
        <w:t>.</w:t>
      </w:r>
    </w:p>
    <w:bookmarkEnd w:id="3"/>
    <w:p w14:paraId="6D7E2130">
      <w:pPr>
        <w:pStyle w:val="4"/>
      </w:pPr>
      <w:bookmarkStart w:id="4" w:name="frozen-basis-and-projection-coefficients"/>
      <w:r>
        <w:rPr>
          <w:b/>
        </w:rPr>
        <w:t xml:space="preserve">2.2  </w:t>
      </w:r>
      <w:r>
        <w:t>Frozen basis and projection coefficients</w:t>
      </w:r>
    </w:p>
    <w:p w14:paraId="462827B2">
      <w:pPr>
        <w:pStyle w:val="23"/>
      </w:pPr>
      <w:r>
        <w:t xml:space="preserve">Let </w:t>
      </w:r>
      <m:oMath>
        <m:sSubSup>
          <m:sSubSupPr/>
          <m:e>
            <m:r>
              <m:rPr/>
              <m:t>ψ</m:t>
            </m:r>
          </m:e>
          <m:sub>
            <m:r>
              <m:rPr/>
              <m:t>j</m:t>
            </m:r>
          </m:sub>
          <m:sup>
            <m:r>
              <m:rPr>
                <m:sty m:val="p"/>
              </m:rPr>
              <m:t>old</m:t>
            </m:r>
          </m:sup>
        </m:sSubSup>
        <m:d>
          <m:dPr>
            <m:sepChr m:val=""/>
          </m:dPr>
          <m:e>
            <m:r>
              <m:rPr>
                <m:sty m:val="p"/>
              </m:rPr>
              <m:t>⋅;</m:t>
            </m:r>
            <m:sSup>
              <m:sSupPr/>
              <m:e>
                <m:r>
                  <m:rPr/>
                  <m:t>θ</m:t>
                </m:r>
              </m:e>
              <m:sup>
                <m:r>
                  <m:rPr>
                    <m:sty m:val="p"/>
                  </m:rPr>
                  <m:t>∗</m:t>
                </m:r>
              </m:sup>
            </m:sSup>
          </m:e>
        </m:d>
      </m:oMath>
      <w:r>
        <w:t xml:space="preserve">, </w:t>
      </w:r>
      <m:oMath>
        <m:r>
          <m:rPr/>
          <m:t>j</m:t>
        </m:r>
        <m:r>
          <m:rPr>
            <m:sty m:val="p"/>
          </m:rPr>
          <m:t>=</m:t>
        </m:r>
        <m:r>
          <m:rPr/>
          <m:t>0</m:t>
        </m:r>
        <m:r>
          <m:rPr>
            <m:sty m:val="p"/>
          </m:rPr>
          <m:t>,…,</m:t>
        </m:r>
        <m:r>
          <m:rPr/>
          <m:t>J</m:t>
        </m:r>
        <m:r>
          <m:rPr>
            <m:sty m:val="p"/>
          </m:rPr>
          <m:t>−</m:t>
        </m:r>
        <m:r>
          <m:rPr/>
          <m:t>1</m:t>
        </m:r>
      </m:oMath>
      <w:r>
        <w:t xml:space="preserve">, be a converged joint solution and </w:t>
      </w:r>
      <m:oMath>
        <m:sSub>
          <m:sSubPr/>
          <m:e>
            <m:r>
              <m:rPr/>
              <m:t>v</m:t>
            </m:r>
          </m:e>
          <m:sub>
            <m:r>
              <m:rPr>
                <m:sty m:val="p"/>
              </m:rPr>
              <m:t>rot</m:t>
            </m:r>
          </m:sub>
        </m:sSub>
      </m:oMath>
      <w:r>
        <w:t xml:space="preserve"> the rotation that diagonalises its Ritz problem. We retain </w:t>
      </w:r>
      <m:oMath>
        <m:r>
          <m:rPr/>
          <m:t>r</m:t>
        </m:r>
        <m:r>
          <m:rPr>
            <m:sty m:val="p"/>
          </m:rPr>
          <m:t>≤</m:t>
        </m:r>
        <m:r>
          <m:rPr/>
          <m:t>J</m:t>
        </m:r>
      </m:oMath>
      <w:r>
        <w:t xml:space="preserve"> of its columns and represent each frozen state pointwise,</w:t>
      </w:r>
    </w:p>
    <w:tbl>
      <w:tblPr>
        <w:tblStyle w:val="18"/>
        <w:tblW w:w="48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10"/>
        <w:gridCol w:w="3628"/>
        <w:gridCol w:w="680"/>
      </w:tblGrid>
      <w:tr w14:paraId="30D80BE2">
        <w:trPr>
          <w:cantSplit/>
          <w:trHeight w:val="240" w:hRule="atLeast"/>
          <w:jc w:val="center"/>
        </w:trPr>
        <w:tc>
          <w:tcPr>
            <w:tcW w:w="510" w:type="dxa"/>
            <w:vAlign w:val="center"/>
          </w:tcPr>
          <w:p w14:paraId="436F6C1A">
            <w:pPr>
              <w:spacing w:before="40" w:after="40" w:line="240" w:lineRule="auto"/>
              <w:ind w:left="0" w:right="0" w:firstLine="0"/>
              <w:jc w:val="left"/>
            </w:pPr>
          </w:p>
        </w:tc>
        <w:tc>
          <w:tcPr>
            <w:tcW w:w="3628" w:type="dxa"/>
            <w:vAlign w:val="center"/>
          </w:tcPr>
          <w:p w14:paraId="69DD6F7F">
            <w:pPr>
              <w:spacing w:before="40" w:after="40" w:line="240" w:lineRule="auto"/>
              <w:ind w:left="0" w:right="0" w:firstLine="0"/>
              <w:jc w:val="center"/>
            </w:pPr>
            <m:oMathPara>
              <m:oMath>
                <m:sSub>
                  <m:sSubPr/>
                  <m:e>
                    <m:r>
                      <m:rPr/>
                      <m:t>φ</m:t>
                    </m:r>
                  </m:e>
                  <m:sub>
                    <m:r>
                      <m:rPr/>
                      <m:t>i</m:t>
                    </m:r>
                  </m:sub>
                </m:sSub>
                <m:d>
                  <m:dPr>
                    <m:sepChr m:val=""/>
                  </m:dPr>
                  <m:e>
                    <m:r>
                      <m:rPr/>
                      <m:t>x</m:t>
                    </m:r>
                  </m:e>
                </m:d>
                <m:r>
                  <m:rPr>
                    <m:sty m:val="p"/>
                  </m:rPr>
                  <m:t>=</m:t>
                </m:r>
                <m:nary>
                  <m:naryPr>
                    <m:chr m:val="∑"/>
                    <m:limLoc m:val="undOvr"/>
                  </m:naryPr>
                  <m:sub>
                    <m:r>
                      <m:rPr/>
                      <m:t>j</m:t>
                    </m:r>
                    <m:r>
                      <m:rPr>
                        <m:sty m:val="p"/>
                      </m:rPr>
                      <m:t>=</m:t>
                    </m:r>
                    <m:r>
                      <m:rPr/>
                      <m:t>0</m:t>
                    </m:r>
                  </m:sub>
                  <m:sup>
                    <m:r>
                      <m:rPr/>
                      <m:t>J</m:t>
                    </m:r>
                    <m:r>
                      <m:rPr>
                        <m:sty m:val="p"/>
                      </m:rPr>
                      <m:t>−</m:t>
                    </m:r>
                    <m:r>
                      <m:rPr/>
                      <m:t>1</m:t>
                    </m:r>
                  </m:sup>
                  <m:e>
                    <m:sSubSup>
                      <m:sSubSupPr/>
                      <m:e>
                        <m:r>
                          <m:rPr/>
                          <m:t>ψ</m:t>
                        </m:r>
                      </m:e>
                      <m:sub>
                        <m:r>
                          <m:rPr/>
                          <m:t>j</m:t>
                        </m:r>
                      </m:sub>
                      <m:sup>
                        <m:r>
                          <m:rPr>
                            <m:sty m:val="p"/>
                          </m:rPr>
                          <m:t>old</m:t>
                        </m:r>
                      </m:sup>
                    </m:sSubSup>
                  </m:e>
                </m:nary>
                <m:d>
                  <m:dPr>
                    <m:sepChr m:val=""/>
                  </m:dPr>
                  <m:e>
                    <m:r>
                      <m:rPr/>
                      <m:t>x</m:t>
                    </m:r>
                    <m:r>
                      <m:rPr>
                        <m:sty m:val="p"/>
                      </m:rPr>
                      <m:t>;</m:t>
                    </m:r>
                    <m:sSup>
                      <m:sSupPr/>
                      <m:e>
                        <m:r>
                          <m:rPr/>
                          <m:t>θ</m:t>
                        </m:r>
                      </m:e>
                      <m:sup>
                        <m:r>
                          <m:rPr>
                            <m:sty m:val="p"/>
                          </m:rPr>
                          <m:t>∗</m:t>
                        </m:r>
                      </m:sup>
                    </m:sSup>
                  </m:e>
                </m:d>
                <m:r>
                  <m:rPr/>
                  <m:t> </m:t>
                </m:r>
                <m:sSub>
                  <m:sSubPr/>
                  <m:e>
                    <m:r>
                      <m:rPr/>
                      <m:t>v</m:t>
                    </m:r>
                  </m:e>
                  <m:sub>
                    <m:r>
                      <m:rPr/>
                      <m:t>ji</m:t>
                    </m:r>
                  </m:sub>
                </m:sSub>
                <m:r>
                  <m:rPr>
                    <m:sty m:val="p"/>
                  </m:rPr>
                  <m:t>,</m:t>
                </m:r>
                <m:r>
                  <m:rPr/>
                  <m:t>  i</m:t>
                </m:r>
                <m:r>
                  <m:rPr>
                    <m:sty m:val="p"/>
                  </m:rPr>
                  <m:t>=</m:t>
                </m:r>
                <m:r>
                  <m:rPr/>
                  <m:t>0</m:t>
                </m:r>
                <m:r>
                  <m:rPr>
                    <m:sty m:val="p"/>
                  </m:rPr>
                  <m:t>,…,</m:t>
                </m:r>
                <m:r>
                  <m:rPr/>
                  <m:t>r</m:t>
                </m:r>
                <m:r>
                  <m:rPr>
                    <m:sty m:val="p"/>
                  </m:rPr>
                  <m:t>−</m:t>
                </m:r>
                <m:r>
                  <m:rPr/>
                  <m:t>1</m:t>
                </m:r>
                <m:r>
                  <m:rPr>
                    <m:sty m:val="p"/>
                  </m:rPr>
                  <m:t>,</m:t>
                </m:r>
              </m:oMath>
            </m:oMathPara>
          </w:p>
        </w:tc>
        <w:tc>
          <w:tcPr>
            <w:tcW w:w="680" w:type="dxa"/>
            <w:vAlign w:val="center"/>
          </w:tcPr>
          <w:p w14:paraId="42E2BC4F">
            <w:pPr>
              <w:spacing w:before="40" w:after="40" w:line="240" w:lineRule="auto"/>
              <w:ind w:left="0" w:right="0" w:firstLine="0"/>
              <w:jc w:val="right"/>
            </w:pPr>
            <w:r>
              <w:rPr>
                <w:rFonts w:ascii="Times New Roman" w:hAnsi="Times New Roman"/>
                <w:sz w:val="20"/>
              </w:rPr>
              <w:t>(4)</w:t>
            </w:r>
          </w:p>
        </w:tc>
      </w:tr>
    </w:tbl>
    <w:p w14:paraId="4F60A791">
      <w:pPr>
        <w:pStyle w:val="23"/>
      </w:pPr>
      <w:r>
        <w:t xml:space="preserve">so that </w:t>
      </w:r>
      <m:oMath>
        <m:sSub>
          <m:sSubPr/>
          <m:e>
            <m:r>
              <m:rPr/>
              <m:t>φ</m:t>
            </m:r>
          </m:e>
          <m:sub>
            <m:r>
              <m:rPr/>
              <m:t>i</m:t>
            </m:r>
          </m:sub>
        </m:sSub>
      </m:oMath>
      <w:r>
        <w:t xml:space="preserve"> is a plain function of </w:t>
      </w:r>
      <m:oMath>
        <m:r>
          <m:rPr/>
          <m:t>x</m:t>
        </m:r>
      </m:oMath>
      <w:r>
        <w:t xml:space="preserve"> with no stored vector and no gradient. New active columns </w:t>
      </w:r>
      <m:oMath>
        <m:sSub>
          <m:sSubPr/>
          <m:e>
            <m:r>
              <m:rPr/>
              <m:t>ψ</m:t>
            </m:r>
          </m:e>
          <m:sub>
            <m:r>
              <m:rPr/>
              <m:t>m</m:t>
            </m:r>
          </m:sub>
        </m:sSub>
        <m:d>
          <m:dPr>
            <m:sepChr m:val=""/>
          </m:dPr>
          <m:e>
            <m:r>
              <m:rPr/>
              <m:t>x</m:t>
            </m:r>
            <m:r>
              <m:rPr>
                <m:sty m:val="p"/>
              </m:rPr>
              <m:t>;</m:t>
            </m:r>
            <m:r>
              <m:rPr/>
              <m:t>θ</m:t>
            </m:r>
          </m:e>
        </m:d>
      </m:oMath>
      <w:r>
        <w:t xml:space="preserve">, </w:t>
      </w:r>
      <m:oMath>
        <m:r>
          <m:rPr/>
          <m:t>m</m:t>
        </m:r>
        <m:r>
          <m:rPr>
            <m:sty m:val="p"/>
          </m:rPr>
          <m:t>=</m:t>
        </m:r>
        <m:r>
          <m:rPr/>
          <m:t>1</m:t>
        </m:r>
        <m:r>
          <m:rPr>
            <m:sty m:val="p"/>
          </m:rPr>
          <m:t>,…,</m:t>
        </m:r>
        <m:sSub>
          <m:sSubPr/>
          <m:e>
            <m:r>
              <m:rPr/>
              <m:t>K</m:t>
            </m:r>
          </m:e>
          <m:sub>
            <m:r>
              <m:rPr/>
              <m:t>a</m:t>
            </m:r>
          </m:sub>
        </m:sSub>
      </m:oMath>
      <w:r>
        <w:t>, enter only through their components orthogonal to the frozen span,</w:t>
      </w:r>
    </w:p>
    <w:tbl>
      <w:tblPr>
        <w:tblStyle w:val="18"/>
        <w:tblW w:w="48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10"/>
        <w:gridCol w:w="3628"/>
        <w:gridCol w:w="680"/>
      </w:tblGrid>
      <w:tr w14:paraId="29571812">
        <w:trPr>
          <w:cantSplit/>
          <w:trHeight w:val="240" w:hRule="atLeast"/>
          <w:jc w:val="center"/>
        </w:trPr>
        <w:tc>
          <w:tcPr>
            <w:tcW w:w="510" w:type="dxa"/>
            <w:vAlign w:val="center"/>
          </w:tcPr>
          <w:p w14:paraId="42E3AFB7">
            <w:pPr>
              <w:spacing w:before="40" w:after="40" w:line="240" w:lineRule="auto"/>
              <w:ind w:left="0" w:right="0" w:firstLine="0"/>
              <w:jc w:val="left"/>
            </w:pPr>
          </w:p>
        </w:tc>
        <w:tc>
          <w:tcPr>
            <w:tcW w:w="3628" w:type="dxa"/>
            <w:vAlign w:val="center"/>
          </w:tcPr>
          <w:p w14:paraId="669861CB">
            <w:pPr>
              <w:spacing w:before="40" w:after="40" w:line="240" w:lineRule="auto"/>
              <w:ind w:left="0" w:right="0" w:firstLine="0"/>
              <w:jc w:val="center"/>
            </w:pPr>
            <m:oMathPara>
              <m:oMath>
                <m:sSub>
                  <m:sSubPr/>
                  <m:e>
                    <m:r>
                      <m:rPr/>
                      <m:t>χ</m:t>
                    </m:r>
                  </m:e>
                  <m:sub>
                    <m:r>
                      <m:rPr/>
                      <m:t>m</m:t>
                    </m:r>
                  </m:sub>
                </m:sSub>
                <m:r>
                  <m:rPr>
                    <m:sty m:val="p"/>
                  </m:rPr>
                  <m:t>=</m:t>
                </m:r>
                <m:sSub>
                  <m:sSubPr/>
                  <m:e>
                    <m:r>
                      <m:rPr/>
                      <m:t>ψ</m:t>
                    </m:r>
                  </m:e>
                  <m:sub>
                    <m:r>
                      <m:rPr/>
                      <m:t>m</m:t>
                    </m:r>
                  </m:sub>
                </m:sSub>
                <m:r>
                  <m:rPr>
                    <m:sty m:val="p"/>
                  </m:rPr>
                  <m:t>−</m:t>
                </m:r>
                <m:nary>
                  <m:naryPr>
                    <m:chr m:val="∑"/>
                    <m:limLoc m:val="undOvr"/>
                  </m:naryPr>
                  <m:sub>
                    <m:r>
                      <m:rPr/>
                      <m:t>i</m:t>
                    </m:r>
                    <m:r>
                      <m:rPr>
                        <m:sty m:val="p"/>
                      </m:rPr>
                      <m:t>=</m:t>
                    </m:r>
                    <m:r>
                      <m:rPr/>
                      <m:t>0</m:t>
                    </m:r>
                  </m:sub>
                  <m:sup>
                    <m:r>
                      <m:rPr/>
                      <m:t>r</m:t>
                    </m:r>
                    <m:r>
                      <m:rPr>
                        <m:sty m:val="p"/>
                      </m:rPr>
                      <m:t>−</m:t>
                    </m:r>
                    <m:r>
                      <m:rPr/>
                      <m:t>1</m:t>
                    </m:r>
                  </m:sup>
                  <m:e>
                    <m:sSub>
                      <m:sSubPr/>
                      <m:e>
                        <m:r>
                          <m:rPr/>
                          <m:t>c</m:t>
                        </m:r>
                      </m:e>
                      <m:sub>
                        <m:r>
                          <m:rPr/>
                          <m:t>im</m:t>
                        </m:r>
                      </m:sub>
                    </m:sSub>
                  </m:e>
                </m:nary>
                <m:sSub>
                  <m:sSubPr/>
                  <m:e>
                    <m:r>
                      <m:rPr/>
                      <m:t>φ</m:t>
                    </m:r>
                  </m:e>
                  <m:sub>
                    <m:r>
                      <m:rPr/>
                      <m:t>i</m:t>
                    </m:r>
                  </m:sub>
                </m:sSub>
                <m:r>
                  <m:rPr>
                    <m:sty m:val="p"/>
                  </m:rPr>
                  <m:t>,</m:t>
                </m:r>
              </m:oMath>
            </m:oMathPara>
          </w:p>
        </w:tc>
        <w:tc>
          <w:tcPr>
            <w:tcW w:w="680" w:type="dxa"/>
            <w:vAlign w:val="center"/>
          </w:tcPr>
          <w:p w14:paraId="113ADE82">
            <w:pPr>
              <w:spacing w:before="40" w:after="40" w:line="240" w:lineRule="auto"/>
              <w:ind w:left="0" w:right="0" w:firstLine="0"/>
              <w:jc w:val="right"/>
            </w:pPr>
            <w:r>
              <w:rPr>
                <w:rFonts w:ascii="Times New Roman" w:hAnsi="Times New Roman"/>
                <w:sz w:val="20"/>
              </w:rPr>
              <w:t>(5)</w:t>
            </w:r>
          </w:p>
        </w:tc>
      </w:tr>
    </w:tbl>
    <w:p w14:paraId="0D473696">
      <w:pPr>
        <w:pStyle w:val="23"/>
      </w:pPr>
      <w:r>
        <w:t>where the coefficient matrix obeys</w:t>
      </w:r>
    </w:p>
    <w:tbl>
      <w:tblPr>
        <w:tblStyle w:val="18"/>
        <w:tblW w:w="48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10"/>
        <w:gridCol w:w="3628"/>
        <w:gridCol w:w="680"/>
      </w:tblGrid>
      <w:tr w14:paraId="588828A1">
        <w:trPr>
          <w:cantSplit/>
          <w:trHeight w:val="240" w:hRule="atLeast"/>
          <w:jc w:val="center"/>
        </w:trPr>
        <w:tc>
          <w:tcPr>
            <w:tcW w:w="510" w:type="dxa"/>
            <w:vAlign w:val="center"/>
          </w:tcPr>
          <w:p w14:paraId="7105679C">
            <w:pPr>
              <w:spacing w:before="40" w:after="40" w:line="240" w:lineRule="auto"/>
              <w:ind w:left="0" w:right="0" w:firstLine="0"/>
              <w:jc w:val="left"/>
            </w:pPr>
          </w:p>
        </w:tc>
        <w:tc>
          <w:tcPr>
            <w:tcW w:w="3628" w:type="dxa"/>
            <w:vAlign w:val="center"/>
          </w:tcPr>
          <w:p w14:paraId="60A0509D">
            <w:pPr>
              <w:spacing w:before="40" w:after="40" w:line="240" w:lineRule="auto"/>
              <w:ind w:left="0" w:right="0" w:firstLine="0"/>
              <w:jc w:val="center"/>
            </w:pPr>
            <m:oMathPara>
              <m:oMath>
                <m:r>
                  <m:rPr/>
                  <m:t>c</m:t>
                </m:r>
                <m:r>
                  <m:rPr>
                    <m:sty m:val="p"/>
                  </m:rPr>
                  <m:t>=</m:t>
                </m:r>
                <m:sSup>
                  <m:sSupPr/>
                  <m:e>
                    <m:r>
                      <m:rPr/>
                      <m:t>G</m:t>
                    </m:r>
                  </m:e>
                  <m:sup>
                    <m:r>
                      <m:rPr>
                        <m:sty m:val="p"/>
                      </m:rPr>
                      <m:t>−</m:t>
                    </m:r>
                    <m:r>
                      <m:rPr/>
                      <m:t>1</m:t>
                    </m:r>
                  </m:sup>
                </m:sSup>
                <m:r>
                  <m:rPr/>
                  <m:t>M</m:t>
                </m:r>
                <m:r>
                  <m:rPr>
                    <m:sty m:val="p"/>
                  </m:rPr>
                  <m:t>,</m:t>
                </m:r>
              </m:oMath>
            </m:oMathPara>
          </w:p>
        </w:tc>
        <w:tc>
          <w:tcPr>
            <w:tcW w:w="680" w:type="dxa"/>
            <w:vAlign w:val="center"/>
          </w:tcPr>
          <w:p w14:paraId="6ABDEF35">
            <w:pPr>
              <w:spacing w:before="40" w:after="40" w:line="240" w:lineRule="auto"/>
              <w:ind w:left="0" w:right="0" w:firstLine="0"/>
              <w:jc w:val="right"/>
            </w:pPr>
            <w:r>
              <w:rPr>
                <w:rFonts w:ascii="Times New Roman" w:hAnsi="Times New Roman"/>
                <w:sz w:val="20"/>
              </w:rPr>
              <w:t>(6)</w:t>
            </w:r>
          </w:p>
        </w:tc>
      </w:tr>
    </w:tbl>
    <w:p w14:paraId="66B063E0">
      <w:pPr>
        <w:pStyle w:val="23"/>
      </w:pPr>
      <w:r>
        <w:t xml:space="preserve">with </w:t>
      </w:r>
      <m:oMath>
        <m:sSub>
          <m:sSubPr/>
          <m:e>
            <m:r>
              <m:rPr/>
              <m:t>G</m:t>
            </m:r>
          </m:e>
          <m:sub>
            <m:r>
              <m:rPr/>
              <m:t>ij</m:t>
            </m:r>
          </m:sub>
        </m:sSub>
        <m:r>
          <m:rPr>
            <m:sty m:val="p"/>
          </m:rPr>
          <m:t>=⟨</m:t>
        </m:r>
        <m:sSub>
          <m:sSubPr/>
          <m:e>
            <m:r>
              <m:rPr/>
              <m:t>φ</m:t>
            </m:r>
          </m:e>
          <m:sub>
            <m:r>
              <m:rPr/>
              <m:t>i</m:t>
            </m:r>
          </m:sub>
        </m:sSub>
        <m:r>
          <m:rPr>
            <m:sty m:val="p"/>
          </m:rPr>
          <m:t>|</m:t>
        </m:r>
        <m:sSub>
          <m:sSubPr/>
          <m:e>
            <m:r>
              <m:rPr/>
              <m:t>φ</m:t>
            </m:r>
          </m:e>
          <m:sub>
            <m:r>
              <m:rPr/>
              <m:t>j</m:t>
            </m:r>
          </m:sub>
        </m:sSub>
        <m:r>
          <m:rPr>
            <m:sty m:val="p"/>
          </m:rPr>
          <m:t>⟩</m:t>
        </m:r>
      </m:oMath>
      <w:r>
        <w:t xml:space="preserve"> and </w:t>
      </w:r>
      <m:oMath>
        <m:sSub>
          <m:sSubPr/>
          <m:e>
            <m:r>
              <m:rPr/>
              <m:t>M</m:t>
            </m:r>
          </m:e>
          <m:sub>
            <m:r>
              <m:rPr/>
              <m:t>im</m:t>
            </m:r>
          </m:sub>
        </m:sSub>
        <m:r>
          <m:rPr>
            <m:sty m:val="p"/>
          </m:rPr>
          <m:t>=⟨</m:t>
        </m:r>
        <m:sSub>
          <m:sSubPr/>
          <m:e>
            <m:r>
              <m:rPr/>
              <m:t>φ</m:t>
            </m:r>
          </m:e>
          <m:sub>
            <m:r>
              <m:rPr/>
              <m:t>i</m:t>
            </m:r>
          </m:sub>
        </m:sSub>
        <m:r>
          <m:rPr>
            <m:sty m:val="p"/>
          </m:rPr>
          <m:t>|</m:t>
        </m:r>
        <m:sSub>
          <m:sSubPr/>
          <m:e>
            <m:r>
              <m:rPr/>
              <m:t>ψ</m:t>
            </m:r>
          </m:e>
          <m:sub>
            <m:r>
              <m:rPr/>
              <m:t>m</m:t>
            </m:r>
          </m:sub>
        </m:sSub>
        <m:r>
          <m:rPr>
            <m:sty m:val="p"/>
          </m:rPr>
          <m:t>⟩</m:t>
        </m:r>
      </m:oMath>
      <w:r>
        <w:t xml:space="preserve"> the Gram matrices of the two sets.</w:t>
      </w:r>
    </w:p>
    <w:p w14:paraId="362E740A">
      <w:pPr>
        <w:pStyle w:val="3"/>
      </w:pPr>
      <w:r>
        <w:t xml:space="preserve">The inner products in </w:t>
      </w:r>
      <m:oMath>
        <m:r>
          <m:rPr/>
          <m:t>G</m:t>
        </m:r>
      </m:oMath>
      <w:r>
        <w:t xml:space="preserve"> and </w:t>
      </w:r>
      <m:oMath>
        <m:r>
          <m:rPr/>
          <m:t>M</m:t>
        </m:r>
      </m:oMath>
      <w:r>
        <w:t xml:space="preserve"> are the only genuinely non-local objects in the construction. They are estimated by importance sampling on an auxiliary distribution</w:t>
      </w:r>
    </w:p>
    <w:tbl>
      <w:tblPr>
        <w:tblStyle w:val="18"/>
        <w:tblW w:w="48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10"/>
        <w:gridCol w:w="3628"/>
        <w:gridCol w:w="680"/>
      </w:tblGrid>
      <w:tr w14:paraId="59E959E8">
        <w:trPr>
          <w:cantSplit/>
          <w:trHeight w:val="240" w:hRule="atLeast"/>
          <w:jc w:val="center"/>
        </w:trPr>
        <w:tc>
          <w:tcPr>
            <w:tcW w:w="510" w:type="dxa"/>
            <w:vAlign w:val="center"/>
          </w:tcPr>
          <w:p w14:paraId="49BF2060">
            <w:pPr>
              <w:spacing w:before="40" w:after="40" w:line="240" w:lineRule="auto"/>
              <w:ind w:left="0" w:right="0" w:firstLine="0"/>
              <w:jc w:val="left"/>
            </w:pPr>
          </w:p>
        </w:tc>
        <w:tc>
          <w:tcPr>
            <w:tcW w:w="3628" w:type="dxa"/>
            <w:vAlign w:val="center"/>
          </w:tcPr>
          <w:p w14:paraId="3A7875B6">
            <w:pPr>
              <w:spacing w:before="40" w:after="40" w:line="240" w:lineRule="auto"/>
              <w:ind w:left="0" w:right="0" w:firstLine="0"/>
              <w:jc w:val="center"/>
            </w:pPr>
            <m:oMathPara>
              <m:oMath>
                <m:r>
                  <m:rPr/>
                  <m:t>q</m:t>
                </m:r>
                <m:d>
                  <m:dPr>
                    <m:sepChr m:val=""/>
                  </m:dPr>
                  <m:e>
                    <m:r>
                      <m:rPr/>
                      <m:t>y</m:t>
                    </m:r>
                  </m:e>
                </m:d>
                <m:r>
                  <m:rPr>
                    <m:sty m:val="p"/>
                  </m:rPr>
                  <m:t>∝</m:t>
                </m:r>
                <m:nary>
                  <m:naryPr>
                    <m:chr m:val="∑"/>
                    <m:limLoc m:val="undOvr"/>
                  </m:naryPr>
                  <m:sub>
                    <m:r>
                      <m:rPr/>
                      <m:t>i</m:t>
                    </m:r>
                    <m:r>
                      <m:rPr>
                        <m:sty m:val="p"/>
                      </m:rPr>
                      <m:t>=</m:t>
                    </m:r>
                    <m:r>
                      <m:rPr/>
                      <m:t>0</m:t>
                    </m:r>
                  </m:sub>
                  <m:sup>
                    <m:r>
                      <m:rPr/>
                      <m:t>r</m:t>
                    </m:r>
                    <m:r>
                      <m:rPr>
                        <m:sty m:val="p"/>
                      </m:rPr>
                      <m:t>−</m:t>
                    </m:r>
                    <m:r>
                      <m:rPr/>
                      <m:t>1</m:t>
                    </m:r>
                  </m:sup>
                  <m:e>
                    <m:r>
                      <m:rPr>
                        <m:sty m:val="p"/>
                      </m:rPr>
                      <m:t>|</m:t>
                    </m:r>
                  </m:e>
                </m:nary>
                <m:sSub>
                  <m:sSubPr/>
                  <m:e>
                    <m:r>
                      <m:rPr/>
                      <m:t>φ</m:t>
                    </m:r>
                  </m:e>
                  <m:sub>
                    <m:r>
                      <m:rPr/>
                      <m:t>i</m:t>
                    </m:r>
                  </m:sub>
                </m:sSub>
                <m:d>
                  <m:dPr>
                    <m:sepChr m:val=""/>
                  </m:dPr>
                  <m:e>
                    <m:r>
                      <m:rPr/>
                      <m:t>y</m:t>
                    </m:r>
                  </m:e>
                </m:d>
                <m:sSup>
                  <m:sSupPr/>
                  <m:e>
                    <m:r>
                      <m:rPr>
                        <m:sty m:val="p"/>
                      </m:rPr>
                      <m:t>|</m:t>
                    </m:r>
                  </m:e>
                  <m:sup>
                    <m:r>
                      <m:rPr/>
                      <m:t>2</m:t>
                    </m:r>
                  </m:sup>
                </m:sSup>
                <m:r>
                  <m:rPr>
                    <m:sty m:val="p"/>
                  </m:rPr>
                  <m:t>+</m:t>
                </m:r>
                <m:r>
                  <m:rPr/>
                  <m:t>ε</m:t>
                </m:r>
                <m:nary>
                  <m:naryPr>
                    <m:chr m:val="∑"/>
                    <m:limLoc m:val="undOvr"/>
                  </m:naryPr>
                  <m:sub>
                    <m:r>
                      <m:rPr/>
                      <m:t>m</m:t>
                    </m:r>
                    <m:r>
                      <m:rPr>
                        <m:sty m:val="p"/>
                      </m:rPr>
                      <m:t>=</m:t>
                    </m:r>
                    <m:r>
                      <m:rPr/>
                      <m:t>1</m:t>
                    </m:r>
                  </m:sub>
                  <m:sup>
                    <m:sSub>
                      <m:sSubPr/>
                      <m:e>
                        <m:r>
                          <m:rPr/>
                          <m:t>K</m:t>
                        </m:r>
                      </m:e>
                      <m:sub>
                        <m:r>
                          <m:rPr/>
                          <m:t>a</m:t>
                        </m:r>
                      </m:sub>
                    </m:sSub>
                  </m:sup>
                  <m:e>
                    <m:r>
                      <m:rPr>
                        <m:sty m:val="p"/>
                      </m:rPr>
                      <m:t>|</m:t>
                    </m:r>
                  </m:e>
                </m:nary>
                <m:sSub>
                  <m:sSubPr/>
                  <m:e>
                    <m:r>
                      <m:rPr/>
                      <m:t>ψ</m:t>
                    </m:r>
                  </m:e>
                  <m:sub>
                    <m:r>
                      <m:rPr/>
                      <m:t>m</m:t>
                    </m:r>
                  </m:sub>
                </m:sSub>
                <m:d>
                  <m:dPr>
                    <m:sepChr m:val=""/>
                  </m:dPr>
                  <m:e>
                    <m:r>
                      <m:rPr/>
                      <m:t>y</m:t>
                    </m:r>
                  </m:e>
                </m:d>
                <m:sSup>
                  <m:sSupPr/>
                  <m:e>
                    <m:r>
                      <m:rPr>
                        <m:sty m:val="p"/>
                      </m:rPr>
                      <m:t>|</m:t>
                    </m:r>
                  </m:e>
                  <m:sup>
                    <m:r>
                      <m:rPr/>
                      <m:t>2</m:t>
                    </m:r>
                  </m:sup>
                </m:sSup>
                <m:r>
                  <m:rPr>
                    <m:sty m:val="p"/>
                  </m:rPr>
                  <m:t>,</m:t>
                </m:r>
              </m:oMath>
            </m:oMathPara>
          </w:p>
        </w:tc>
        <w:tc>
          <w:tcPr>
            <w:tcW w:w="680" w:type="dxa"/>
            <w:vAlign w:val="center"/>
          </w:tcPr>
          <w:p w14:paraId="23CB1E86">
            <w:pPr>
              <w:spacing w:before="40" w:after="40" w:line="240" w:lineRule="auto"/>
              <w:ind w:left="0" w:right="0" w:firstLine="0"/>
              <w:jc w:val="right"/>
            </w:pPr>
            <w:r>
              <w:rPr>
                <w:rFonts w:ascii="Times New Roman" w:hAnsi="Times New Roman"/>
                <w:sz w:val="20"/>
              </w:rPr>
              <w:t>(7)</w:t>
            </w:r>
          </w:p>
        </w:tc>
      </w:tr>
    </w:tbl>
    <w:p w14:paraId="691FA536">
      <w:pPr>
        <w:pStyle w:val="23"/>
      </w:pPr>
      <w:r>
        <w:t xml:space="preserve">whose purpose is to cover both the frozen and the active support, since the active states are still far from converged at the beginning of the run. Writing </w:t>
      </w:r>
      <m:oMath>
        <m:sSub>
          <m:sSubPr/>
          <m:e>
            <m:r>
              <m:rPr/>
              <m:t>Z</m:t>
            </m:r>
          </m:e>
          <m:sub>
            <m:r>
              <m:rPr/>
              <m:t>q</m:t>
            </m:r>
          </m:sub>
        </m:sSub>
        <m:r>
          <m:rPr>
            <m:sty m:val="p"/>
          </m:rPr>
          <m:t>=</m:t>
        </m:r>
        <m:nary>
          <m:naryPr>
            <m:chr m:val="∑"/>
            <m:limLoc m:val="undOvr"/>
            <m:supHide m:val="1"/>
          </m:naryPr>
          <m:sub>
            <m:r>
              <m:rPr/>
              <m:t>y</m:t>
            </m:r>
          </m:sub>
          <m:sup>
            <m:r>
              <m:rPr/>
              <m:t>​</m:t>
            </m:r>
          </m:sup>
          <m:e>
            <m:r>
              <m:rPr/>
              <m:t>q</m:t>
            </m:r>
          </m:e>
        </m:nary>
        <m:d>
          <m:dPr>
            <m:sepChr m:val=""/>
          </m:dPr>
          <m:e>
            <m:r>
              <m:rPr/>
              <m:t>y</m:t>
            </m:r>
          </m:e>
        </m:d>
      </m:oMath>
      <w:r>
        <w:t xml:space="preserve"> for the unknown normalisation, every Gram block estimated on the same sample carries the same factor, </w:t>
      </w:r>
      <m:oMath>
        <m:acc>
          <m:accPr/>
          <m:e>
            <m:r>
              <m:rPr/>
              <m:t>G</m:t>
            </m:r>
          </m:e>
        </m:acc>
        <m:r>
          <m:rPr>
            <m:sty m:val="p"/>
          </m:rPr>
          <m:t>=</m:t>
        </m:r>
        <m:r>
          <m:rPr/>
          <m:t>G</m:t>
        </m:r>
        <m:r>
          <m:rPr>
            <m:sty m:val="p"/>
          </m:rPr>
          <m:t>/</m:t>
        </m:r>
        <m:sSub>
          <m:sSubPr/>
          <m:e>
            <m:r>
              <m:rPr/>
              <m:t>Z</m:t>
            </m:r>
          </m:e>
          <m:sub>
            <m:r>
              <m:rPr/>
              <m:t>q</m:t>
            </m:r>
          </m:sub>
        </m:sSub>
      </m:oMath>
      <w:r>
        <w:t xml:space="preserve">, </w:t>
      </w:r>
      <m:oMath>
        <m:acc>
          <m:accPr/>
          <m:e>
            <m:r>
              <m:rPr/>
              <m:t>M</m:t>
            </m:r>
          </m:e>
        </m:acc>
        <m:r>
          <m:rPr>
            <m:sty m:val="p"/>
          </m:rPr>
          <m:t>=</m:t>
        </m:r>
        <m:r>
          <m:rPr/>
          <m:t>M</m:t>
        </m:r>
        <m:r>
          <m:rPr>
            <m:sty m:val="p"/>
          </m:rPr>
          <m:t>/</m:t>
        </m:r>
        <m:sSub>
          <m:sSubPr/>
          <m:e>
            <m:r>
              <m:rPr/>
              <m:t>Z</m:t>
            </m:r>
          </m:e>
          <m:sub>
            <m:r>
              <m:rPr/>
              <m:t>q</m:t>
            </m:r>
          </m:sub>
        </m:sSub>
      </m:oMath>
      <w:r>
        <w:t>, hence</w:t>
      </w:r>
    </w:p>
    <w:tbl>
      <w:tblPr>
        <w:tblStyle w:val="18"/>
        <w:tblW w:w="48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10"/>
        <w:gridCol w:w="3628"/>
        <w:gridCol w:w="680"/>
      </w:tblGrid>
      <w:tr w14:paraId="744BD537">
        <w:trPr>
          <w:cantSplit/>
          <w:trHeight w:val="240" w:hRule="atLeast"/>
          <w:jc w:val="center"/>
        </w:trPr>
        <w:tc>
          <w:tcPr>
            <w:tcW w:w="510" w:type="dxa"/>
            <w:vAlign w:val="center"/>
          </w:tcPr>
          <w:p w14:paraId="2FEC1097">
            <w:pPr>
              <w:spacing w:before="40" w:after="40" w:line="240" w:lineRule="auto"/>
              <w:ind w:left="0" w:right="0" w:firstLine="0"/>
              <w:jc w:val="left"/>
            </w:pPr>
          </w:p>
        </w:tc>
        <w:tc>
          <w:tcPr>
            <w:tcW w:w="3628" w:type="dxa"/>
            <w:vAlign w:val="center"/>
          </w:tcPr>
          <w:p w14:paraId="03C4EB03">
            <w:pPr>
              <w:spacing w:before="40" w:after="40" w:line="240" w:lineRule="auto"/>
              <w:ind w:left="0" w:right="0" w:firstLine="0"/>
              <w:jc w:val="center"/>
            </w:pPr>
            <m:oMathPara>
              <m:oMath>
                <m:sSup>
                  <m:sSupPr/>
                  <m:e>
                    <m:acc>
                      <m:accPr/>
                      <m:e>
                        <m:r>
                          <m:rPr/>
                          <m:t>G</m:t>
                        </m:r>
                      </m:e>
                    </m:acc>
                  </m:e>
                  <m:sup>
                    <m:r>
                      <m:rPr>
                        <m:sty m:val="p"/>
                      </m:rPr>
                      <m:t>−</m:t>
                    </m:r>
                    <m:r>
                      <m:rPr/>
                      <m:t>1</m:t>
                    </m:r>
                  </m:sup>
                </m:sSup>
                <m:acc>
                  <m:accPr/>
                  <m:e>
                    <m:r>
                      <m:rPr/>
                      <m:t>M</m:t>
                    </m:r>
                  </m:e>
                </m:acc>
                <m:r>
                  <m:rPr>
                    <m:sty m:val="p"/>
                  </m:rPr>
                  <m:t>=(</m:t>
                </m:r>
                <m:r>
                  <m:rPr/>
                  <m:t>G</m:t>
                </m:r>
                <m:r>
                  <m:rPr>
                    <m:sty m:val="p"/>
                  </m:rPr>
                  <m:t>/</m:t>
                </m:r>
                <m:sSub>
                  <m:sSubPr/>
                  <m:e>
                    <m:r>
                      <m:rPr/>
                      <m:t>Z</m:t>
                    </m:r>
                  </m:e>
                  <m:sub>
                    <m:r>
                      <m:rPr/>
                      <m:t>q</m:t>
                    </m:r>
                  </m:sub>
                </m:sSub>
                <m:sSup>
                  <m:sSupPr/>
                  <m:e>
                    <m:r>
                      <m:rPr>
                        <m:sty m:val="p"/>
                      </m:rPr>
                      <m:t>)</m:t>
                    </m:r>
                  </m:e>
                  <m:sup>
                    <m:r>
                      <m:rPr>
                        <m:sty m:val="p"/>
                      </m:rPr>
                      <m:t>−</m:t>
                    </m:r>
                    <m:r>
                      <m:rPr/>
                      <m:t>1</m:t>
                    </m:r>
                  </m:sup>
                </m:sSup>
                <m:d>
                  <m:dPr>
                    <m:sepChr m:val=""/>
                  </m:dPr>
                  <m:e>
                    <m:r>
                      <m:rPr/>
                      <m:t>M</m:t>
                    </m:r>
                    <m:r>
                      <m:rPr>
                        <m:sty m:val="p"/>
                      </m:rPr>
                      <m:t>/</m:t>
                    </m:r>
                    <m:sSub>
                      <m:sSubPr/>
                      <m:e>
                        <m:r>
                          <m:rPr/>
                          <m:t>Z</m:t>
                        </m:r>
                      </m:e>
                      <m:sub>
                        <m:r>
                          <m:rPr/>
                          <m:t>q</m:t>
                        </m:r>
                      </m:sub>
                    </m:sSub>
                  </m:e>
                </m:d>
                <m:r>
                  <m:rPr>
                    <m:sty m:val="p"/>
                  </m:rPr>
                  <m:t>=</m:t>
                </m:r>
                <m:sSup>
                  <m:sSupPr/>
                  <m:e>
                    <m:r>
                      <m:rPr/>
                      <m:t>G</m:t>
                    </m:r>
                  </m:e>
                  <m:sup>
                    <m:r>
                      <m:rPr>
                        <m:sty m:val="p"/>
                      </m:rPr>
                      <m:t>−</m:t>
                    </m:r>
                    <m:r>
                      <m:rPr/>
                      <m:t>1</m:t>
                    </m:r>
                  </m:sup>
                </m:sSup>
                <m:r>
                  <m:rPr/>
                  <m:t>M</m:t>
                </m:r>
                <m:r>
                  <m:rPr>
                    <m:sty m:val="p"/>
                  </m:rPr>
                  <m:t>.</m:t>
                </m:r>
              </m:oMath>
            </m:oMathPara>
          </w:p>
        </w:tc>
        <w:tc>
          <w:tcPr>
            <w:tcW w:w="680" w:type="dxa"/>
            <w:vAlign w:val="center"/>
          </w:tcPr>
          <w:p w14:paraId="25D81906">
            <w:pPr>
              <w:spacing w:before="40" w:after="40" w:line="240" w:lineRule="auto"/>
              <w:ind w:left="0" w:right="0" w:firstLine="0"/>
              <w:jc w:val="right"/>
            </w:pPr>
            <w:r>
              <w:rPr>
                <w:rFonts w:ascii="Times New Roman" w:hAnsi="Times New Roman"/>
                <w:sz w:val="20"/>
              </w:rPr>
              <w:t>(8)</w:t>
            </w:r>
          </w:p>
        </w:tc>
      </w:tr>
    </w:tbl>
    <w:p w14:paraId="2ADF8B58">
      <w:pPr>
        <w:pStyle w:val="23"/>
      </w:pPr>
      <w:r>
        <w:t xml:space="preserve">The normalisation cancels identically, so neither a wave-function norm nor a full-space overlap has to be computed. In practice </w:t>
      </w:r>
      <m:oMath>
        <m:r>
          <m:rPr/>
          <m:t>G</m:t>
        </m:r>
      </m:oMath>
      <w:r>
        <w:t xml:space="preserve"> is regularised by a small diagonal shift and by a truncated pseudo-inverse, and </w:t>
      </w:r>
      <m:oMath>
        <m:r>
          <m:rPr/>
          <m:t>c</m:t>
        </m:r>
      </m:oMath>
      <w:r>
        <w:t xml:space="preserve"> is only meaningful for columns that remain linearly independent of the frozen set.</w:t>
      </w:r>
    </w:p>
    <w:bookmarkEnd w:id="4"/>
    <w:p w14:paraId="4051A684">
      <w:pPr>
        <w:pStyle w:val="4"/>
      </w:pPr>
      <w:bookmarkStart w:id="5" w:name="determinant-with-a-frozen-block"/>
      <w:r>
        <w:rPr>
          <w:b/>
        </w:rPr>
        <w:t xml:space="preserve">2.3  </w:t>
      </w:r>
      <w:r>
        <w:t>Determinant with a frozen block</w:t>
      </w:r>
    </w:p>
    <w:p w14:paraId="30904657">
      <w:pPr>
        <w:pStyle w:val="23"/>
      </w:pPr>
      <w:r>
        <w:t xml:space="preserve">The projected columns are placed next to the frozen ones, </w:t>
      </w:r>
      <m:oMath>
        <m:r>
          <m:rPr/>
          <m:t>Φ</m:t>
        </m:r>
        <m:r>
          <m:rPr>
            <m:sty m:val="p"/>
          </m:rPr>
          <m:t>=</m:t>
        </m:r>
        <m:d>
          <m:dPr>
            <m:begChr m:val="["/>
            <m:sepChr m:val=""/>
            <m:endChr m:val="]"/>
          </m:dPr>
          <m:e>
            <m:sSub>
              <m:sSubPr/>
              <m:e>
                <m:r>
                  <m:rPr/>
                  <m:t>φ</m:t>
                </m:r>
              </m:e>
              <m:sub>
                <m:r>
                  <m:rPr/>
                  <m:t>0</m:t>
                </m:r>
              </m:sub>
            </m:sSub>
            <m:r>
              <m:rPr>
                <m:sty m:val="p"/>
              </m:rPr>
              <m:t>,…,</m:t>
            </m:r>
            <m:sSub>
              <m:sSubPr/>
              <m:e>
                <m:r>
                  <m:rPr/>
                  <m:t>φ</m:t>
                </m:r>
              </m:e>
              <m:sub>
                <m:r>
                  <m:rPr/>
                  <m:t>r</m:t>
                </m:r>
                <m:r>
                  <m:rPr>
                    <m:sty m:val="p"/>
                  </m:rPr>
                  <m:t>−</m:t>
                </m:r>
                <m:r>
                  <m:rPr/>
                  <m:t>1</m:t>
                </m:r>
              </m:sub>
            </m:sSub>
          </m:e>
        </m:d>
      </m:oMath>
      <w:r>
        <w:t xml:space="preserve"> and </w:t>
      </w:r>
      <m:oMath>
        <m:r>
          <m:rPr/>
          <m:t>C</m:t>
        </m:r>
        <m:r>
          <m:rPr>
            <m:sty m:val="p"/>
          </m:rPr>
          <m:t>=</m:t>
        </m:r>
        <m:d>
          <m:dPr>
            <m:begChr m:val="["/>
            <m:sepChr m:val=""/>
            <m:endChr m:val="]"/>
          </m:dPr>
          <m:e>
            <m:sSub>
              <m:sSubPr/>
              <m:e>
                <m:r>
                  <m:rPr/>
                  <m:t>χ</m:t>
                </m:r>
              </m:e>
              <m:sub>
                <m:r>
                  <m:rPr/>
                  <m:t>1</m:t>
                </m:r>
              </m:sub>
            </m:sSub>
            <m:r>
              <m:rPr>
                <m:sty m:val="p"/>
              </m:rPr>
              <m:t>,…,</m:t>
            </m:r>
            <m:sSub>
              <m:sSubPr/>
              <m:e>
                <m:r>
                  <m:rPr/>
                  <m:t>χ</m:t>
                </m:r>
              </m:e>
              <m:sub>
                <m:sSub>
                  <m:sSubPr/>
                  <m:e>
                    <m:r>
                      <m:rPr/>
                      <m:t>K</m:t>
                    </m:r>
                  </m:e>
                  <m:sub>
                    <m:r>
                      <m:rPr/>
                      <m:t>a</m:t>
                    </m:r>
                  </m:sub>
                </m:sSub>
              </m:sub>
            </m:sSub>
          </m:e>
        </m:d>
      </m:oMath>
      <w:r>
        <w:t>, in a single determinant,</w:t>
      </w:r>
    </w:p>
    <w:tbl>
      <w:tblPr>
        <w:tblStyle w:val="18"/>
        <w:tblW w:w="48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10"/>
        <w:gridCol w:w="3628"/>
        <w:gridCol w:w="680"/>
      </w:tblGrid>
      <w:tr w14:paraId="66DB9153">
        <w:trPr>
          <w:cantSplit/>
          <w:trHeight w:val="240" w:hRule="atLeast"/>
          <w:jc w:val="center"/>
        </w:trPr>
        <w:tc>
          <w:tcPr>
            <w:tcW w:w="510" w:type="dxa"/>
            <w:vAlign w:val="center"/>
          </w:tcPr>
          <w:p w14:paraId="7D895769">
            <w:pPr>
              <w:spacing w:before="40" w:after="40" w:line="240" w:lineRule="auto"/>
              <w:ind w:left="0" w:right="0" w:firstLine="0"/>
              <w:jc w:val="left"/>
            </w:pPr>
          </w:p>
        </w:tc>
        <w:tc>
          <w:tcPr>
            <w:tcW w:w="3628" w:type="dxa"/>
            <w:vAlign w:val="center"/>
          </w:tcPr>
          <w:p w14:paraId="62E283FF">
            <w:pPr>
              <w:spacing w:before="40" w:after="40" w:line="240" w:lineRule="auto"/>
              <w:ind w:left="0" w:right="0" w:firstLine="0"/>
              <w:jc w:val="center"/>
            </w:pPr>
            <m:oMathPara>
              <m:oMath>
                <m:sSub>
                  <m:sSubPr/>
                  <m:e>
                    <m:r>
                      <m:rPr/>
                      <m:t>Ψ</m:t>
                    </m:r>
                  </m:e>
                  <m:sub>
                    <m:r>
                      <m:rPr/>
                      <m:t>F</m:t>
                    </m:r>
                  </m:sub>
                </m:sSub>
                <m:r>
                  <m:rPr>
                    <m:sty m:val="p"/>
                  </m:rPr>
                  <m:t>=det</m:t>
                </m:r>
                <m:d>
                  <m:dPr>
                    <m:begChr m:val="["/>
                    <m:sepChr m:val=""/>
                    <m:endChr m:val="]"/>
                  </m:dPr>
                  <m:e>
                    <m:r>
                      <m:rPr/>
                      <m:t> Φ </m:t>
                    </m:r>
                    <m:r>
                      <m:rPr>
                        <m:sty m:val="p"/>
                      </m:rPr>
                      <m:t>|</m:t>
                    </m:r>
                    <m:r>
                      <m:rPr/>
                      <m:t> C </m:t>
                    </m:r>
                  </m:e>
                </m:d>
                <m:r>
                  <m:rPr>
                    <m:sty m:val="p"/>
                  </m:rPr>
                  <m:t>.</m:t>
                </m:r>
              </m:oMath>
            </m:oMathPara>
          </w:p>
        </w:tc>
        <w:tc>
          <w:tcPr>
            <w:tcW w:w="680" w:type="dxa"/>
            <w:vAlign w:val="center"/>
          </w:tcPr>
          <w:p w14:paraId="6C2C7D2C">
            <w:pPr>
              <w:spacing w:before="40" w:after="40" w:line="240" w:lineRule="auto"/>
              <w:ind w:left="0" w:right="0" w:firstLine="0"/>
              <w:jc w:val="right"/>
            </w:pPr>
            <w:r>
              <w:rPr>
                <w:rFonts w:ascii="Times New Roman" w:hAnsi="Times New Roman"/>
                <w:sz w:val="20"/>
              </w:rPr>
              <w:t>(9)</w:t>
            </w:r>
          </w:p>
        </w:tc>
      </w:tr>
    </w:tbl>
    <w:p w14:paraId="77124E27">
      <w:pPr>
        <w:pStyle w:val="23"/>
      </w:pPr>
      <w:r>
        <w:t xml:space="preserve">Because </w:t>
      </w:r>
      <m:oMath>
        <m:sSub>
          <m:sSubPr/>
          <m:e>
            <m:r>
              <m:rPr/>
              <m:t>χ</m:t>
            </m:r>
          </m:e>
          <m:sub>
            <m:r>
              <m:rPr/>
              <m:t>m</m:t>
            </m:r>
          </m:sub>
        </m:sSub>
      </m:oMath>
      <w:r>
        <w:t xml:space="preserve"> already contains the subtracted frozen part, the determinant is invariant under adding any linear combination of the frozen columns to an active column, i.e. </w:t>
      </w:r>
      <m:oMath>
        <m:r>
          <m:rPr>
            <m:sty m:val="p"/>
          </m:rPr>
          <m:t>det</m:t>
        </m:r>
        <m:d>
          <m:dPr>
            <m:begChr m:val="["/>
            <m:sepChr m:val=""/>
            <m:endChr m:val="]"/>
          </m:dPr>
          <m:e>
            <m:r>
              <m:rPr/>
              <m:t>Φ </m:t>
            </m:r>
            <m:r>
              <m:rPr>
                <m:sty m:val="p"/>
              </m:rPr>
              <m:t>|</m:t>
            </m:r>
            <m:r>
              <m:rPr/>
              <m:t> C</m:t>
            </m:r>
          </m:e>
        </m:d>
        <m:r>
          <m:rPr>
            <m:sty m:val="p"/>
          </m:rPr>
          <m:t>=det</m:t>
        </m:r>
        <m:d>
          <m:dPr>
            <m:begChr m:val="["/>
            <m:sepChr m:val=""/>
            <m:endChr m:val="]"/>
          </m:dPr>
          <m:e>
            <m:r>
              <m:rPr/>
              <m:t>Φ </m:t>
            </m:r>
            <m:r>
              <m:rPr>
                <m:sty m:val="p"/>
              </m:rPr>
              <m:t>|</m:t>
            </m:r>
            <m:r>
              <m:rPr/>
              <m:t> </m:t>
            </m:r>
            <m:sSub>
              <m:sSubPr/>
              <m:e>
                <m:r>
                  <m:rPr/>
                  <m:t>Q</m:t>
                </m:r>
              </m:e>
              <m:sub>
                <m:r>
                  <m:rPr/>
                  <m:t>Φ</m:t>
                </m:r>
              </m:sub>
            </m:sSub>
            <m:r>
              <m:rPr/>
              <m:t>C</m:t>
            </m:r>
          </m:e>
        </m:d>
      </m:oMath>
      <w:r>
        <w:t xml:space="preserve"> with </w:t>
      </w:r>
      <m:oMath>
        <m:sSub>
          <m:sSubPr/>
          <m:e>
            <m:r>
              <m:rPr/>
              <m:t>Q</m:t>
            </m:r>
          </m:e>
          <m:sub>
            <m:r>
              <m:rPr/>
              <m:t>Φ</m:t>
            </m:r>
          </m:sub>
        </m:sSub>
      </m:oMath>
      <w:r>
        <w:t xml:space="preserve"> the orthogonal projector onto the complement of </w:t>
      </w:r>
      <m:oMath>
        <m:r>
          <m:rPr>
            <m:sty m:val="p"/>
          </m:rPr>
          <m:t>span</m:t>
        </m:r>
        <m:r>
          <m:rPr/>
          <m:t>Φ</m:t>
        </m:r>
      </m:oMath>
      <w:r>
        <w:t xml:space="preserve">. The projection is therefore enforced </w:t>
      </w:r>
      <w:r>
        <w:rPr>
          <w:i/>
          <w:iCs/>
        </w:rPr>
        <w:t>automatically</w:t>
      </w:r>
      <w:r>
        <w:t xml:space="preserve"> by the antisymmetriser, and differentiating the determinant yields the projected tangent-space gradient without ever constructing </w:t>
      </w:r>
      <m:oMath>
        <m:sSub>
          <m:sSubPr/>
          <m:e>
            <m:r>
              <m:rPr/>
              <m:t>Q</m:t>
            </m:r>
          </m:e>
          <m:sub>
            <m:r>
              <m:rPr/>
              <m:t>Φ</m:t>
            </m:r>
          </m:sub>
        </m:sSub>
      </m:oMath>
      <w:r>
        <w:t xml:space="preserve">. In the implementation the frozen block </w:t>
      </w:r>
      <m:oMath>
        <m:d>
          <m:dPr>
            <m:begChr m:val="["/>
            <m:sepChr m:val=""/>
            <m:endChr m:val="]"/>
          </m:dPr>
          <m:e>
            <m:r>
              <m:rPr/>
              <m:t>Φ</m:t>
            </m:r>
          </m:e>
        </m:d>
      </m:oMath>
      <w:r>
        <w:t xml:space="preserve"> is a constant: its amplitudes are evaluated with the frozen parameters under a stop-gradient, and only </w:t>
      </w:r>
      <m:oMath>
        <m:r>
          <m:rPr/>
          <m:t>θ</m:t>
        </m:r>
      </m:oMath>
      <w:r>
        <w:t xml:space="preserve"> and the coefficient matrix </w:t>
      </w:r>
      <m:oMath>
        <m:r>
          <m:rPr/>
          <m:t>C</m:t>
        </m:r>
      </m:oMath>
      <w:r>
        <w:t xml:space="preserve"> are differentiated. Sampling is done on the replicated distribution </w:t>
      </w:r>
      <m:oMath>
        <m:sSup>
          <m:sSupPr/>
          <m:e>
            <m:d>
              <m:dPr>
                <m:begChr m:val="|"/>
                <m:sepChr m:val=""/>
                <m:endChr m:val="|"/>
              </m:dPr>
              <m:e>
                <m:sSub>
                  <m:sSubPr/>
                  <m:e>
                    <m:r>
                      <m:rPr/>
                      <m:t>Ψ</m:t>
                    </m:r>
                  </m:e>
                  <m:sub>
                    <m:r>
                      <m:rPr/>
                      <m:t>F</m:t>
                    </m:r>
                  </m:sub>
                </m:sSub>
              </m:e>
            </m:d>
          </m:e>
          <m:sup>
            <m:r>
              <m:rPr/>
              <m:t>2</m:t>
            </m:r>
          </m:sup>
        </m:sSup>
      </m:oMath>
      <w:r>
        <w:t xml:space="preserve"> with importance weights, and the loss of Eq. (2) is evaluated on the active block only.</w:t>
      </w:r>
    </w:p>
    <w:bookmarkEnd w:id="5"/>
    <w:p w14:paraId="10770E36">
      <w:pPr>
        <w:pStyle w:val="4"/>
      </w:pPr>
      <w:bookmarkStart w:id="6" w:name="Xb3111cee572ea7d36901a10726ea44191f87c57"/>
      <w:r>
        <w:rPr>
          <w:b/>
        </w:rPr>
        <w:t xml:space="preserve">2.4  </w:t>
      </w:r>
      <w:r>
        <w:t>Extraction and the correct energy estimator</w:t>
      </w:r>
    </w:p>
    <w:p w14:paraId="57F941A8">
      <w:pPr>
        <w:pStyle w:val="23"/>
      </w:pPr>
      <w:r>
        <w:t xml:space="preserve">Physical energies are extracted from a generalised eigenvalue problem built from the active columns, with </w:t>
      </w:r>
      <m:oMath>
        <m:sSub>
          <m:sSubPr/>
          <m:e>
            <m:d>
              <m:dPr>
                <m:sepChr m:val=""/>
              </m:dPr>
              <m:e>
                <m:sSub>
                  <m:sSubPr/>
                  <m:e>
                    <m:r>
                      <m:rPr/>
                      <m:t>S</m:t>
                    </m:r>
                  </m:e>
                  <m:sub>
                    <m:r>
                      <m:rPr/>
                      <m:t>χ</m:t>
                    </m:r>
                  </m:sub>
                </m:sSub>
              </m:e>
            </m:d>
          </m:e>
          <m:sub>
            <m:r>
              <m:rPr/>
              <m:t>mn</m:t>
            </m:r>
          </m:sub>
        </m:sSub>
        <m:r>
          <m:rPr>
            <m:sty m:val="p"/>
          </m:rPr>
          <m:t>=⟨</m:t>
        </m:r>
        <m:sSub>
          <m:sSubPr/>
          <m:e>
            <m:r>
              <m:rPr/>
              <m:t>χ</m:t>
            </m:r>
          </m:e>
          <m:sub>
            <m:r>
              <m:rPr/>
              <m:t>m</m:t>
            </m:r>
          </m:sub>
        </m:sSub>
        <m:r>
          <m:rPr>
            <m:sty m:val="p"/>
          </m:rPr>
          <m:t>|</m:t>
        </m:r>
        <m:sSub>
          <m:sSubPr/>
          <m:e>
            <m:r>
              <m:rPr/>
              <m:t>χ</m:t>
            </m:r>
          </m:e>
          <m:sub>
            <m:r>
              <m:rPr/>
              <m:t>n</m:t>
            </m:r>
          </m:sub>
        </m:sSub>
        <m:r>
          <m:rPr>
            <m:sty m:val="p"/>
          </m:rPr>
          <m:t>⟩</m:t>
        </m:r>
      </m:oMath>
      <w:r>
        <w:t xml:space="preserve"> and </w:t>
      </w:r>
      <m:oMath>
        <m:sSub>
          <m:sSubPr/>
          <m:e>
            <m:d>
              <m:dPr>
                <m:sepChr m:val=""/>
              </m:dPr>
              <m:e>
                <m:sSub>
                  <m:sSubPr/>
                  <m:e>
                    <m:r>
                      <m:rPr/>
                      <m:t>M</m:t>
                    </m:r>
                  </m:e>
                  <m:sub>
                    <m:r>
                      <m:rPr/>
                      <m:t>χ</m:t>
                    </m:r>
                  </m:sub>
                </m:sSub>
              </m:e>
            </m:d>
          </m:e>
          <m:sub>
            <m:r>
              <m:rPr/>
              <m:t>mn</m:t>
            </m:r>
          </m:sub>
        </m:sSub>
        <m:r>
          <m:rPr>
            <m:sty m:val="p"/>
          </m:rPr>
          <m:t>=⟨</m:t>
        </m:r>
        <m:sSub>
          <m:sSubPr/>
          <m:e>
            <m:r>
              <m:rPr/>
              <m:t>χ</m:t>
            </m:r>
          </m:e>
          <m:sub>
            <m:r>
              <m:rPr/>
              <m:t>m</m:t>
            </m:r>
          </m:sub>
        </m:sSub>
        <m:r>
          <m:rPr>
            <m:sty m:val="p"/>
          </m:rPr>
          <m:t>|</m:t>
        </m:r>
        <m:r>
          <m:rPr/>
          <m:t>H</m:t>
        </m:r>
        <m:r>
          <m:rPr>
            <m:sty m:val="p"/>
          </m:rPr>
          <m:t>|</m:t>
        </m:r>
        <m:sSub>
          <m:sSubPr/>
          <m:e>
            <m:r>
              <m:rPr/>
              <m:t>χ</m:t>
            </m:r>
          </m:e>
          <m:sub>
            <m:r>
              <m:rPr/>
              <m:t>n</m:t>
            </m:r>
          </m:sub>
        </m:sSub>
        <m:r>
          <m:rPr>
            <m:sty m:val="p"/>
          </m:rPr>
          <m:t>⟩</m:t>
        </m:r>
      </m:oMath>
      <w:r>
        <w:t>,</w:t>
      </w:r>
    </w:p>
    <w:tbl>
      <w:tblPr>
        <w:tblStyle w:val="18"/>
        <w:tblW w:w="48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10"/>
        <w:gridCol w:w="3628"/>
        <w:gridCol w:w="680"/>
      </w:tblGrid>
      <w:tr w14:paraId="2646AC42">
        <w:trPr>
          <w:cantSplit/>
          <w:trHeight w:val="240" w:hRule="atLeast"/>
          <w:jc w:val="center"/>
        </w:trPr>
        <w:tc>
          <w:tcPr>
            <w:tcW w:w="510" w:type="dxa"/>
            <w:vAlign w:val="center"/>
          </w:tcPr>
          <w:p w14:paraId="117DAB80">
            <w:pPr>
              <w:spacing w:before="40" w:after="40" w:line="240" w:lineRule="auto"/>
              <w:ind w:left="0" w:right="0" w:firstLine="0"/>
              <w:jc w:val="left"/>
            </w:pPr>
          </w:p>
        </w:tc>
        <w:tc>
          <w:tcPr>
            <w:tcW w:w="3628" w:type="dxa"/>
            <w:vAlign w:val="center"/>
          </w:tcPr>
          <w:p w14:paraId="29CA7AB7">
            <w:pPr>
              <w:spacing w:before="40" w:after="40" w:line="240" w:lineRule="auto"/>
              <w:ind w:left="0" w:right="0" w:firstLine="0"/>
              <w:jc w:val="center"/>
            </w:pPr>
            <m:oMathPara>
              <m:oMath>
                <m:sSub>
                  <m:sSubPr/>
                  <m:e>
                    <m:r>
                      <m:rPr/>
                      <m:t>M</m:t>
                    </m:r>
                  </m:e>
                  <m:sub>
                    <m:r>
                      <m:rPr/>
                      <m:t>χ</m:t>
                    </m:r>
                  </m:sub>
                </m:sSub>
                <m:r>
                  <m:rPr/>
                  <m:t>v</m:t>
                </m:r>
                <m:r>
                  <m:rPr>
                    <m:sty m:val="p"/>
                  </m:rPr>
                  <m:t>=</m:t>
                </m:r>
                <m:r>
                  <m:rPr/>
                  <m:t>λ</m:t>
                </m:r>
                <m:sSub>
                  <m:sSubPr/>
                  <m:e>
                    <m:r>
                      <m:rPr/>
                      <m:t>S</m:t>
                    </m:r>
                  </m:e>
                  <m:sub>
                    <m:r>
                      <m:rPr/>
                      <m:t>χ</m:t>
                    </m:r>
                  </m:sub>
                </m:sSub>
                <m:r>
                  <m:rPr/>
                  <m:t>v</m:t>
                </m:r>
                <m:r>
                  <m:rPr>
                    <m:sty m:val="p"/>
                  </m:rPr>
                  <m:t>,</m:t>
                </m:r>
              </m:oMath>
            </m:oMathPara>
          </w:p>
        </w:tc>
        <w:tc>
          <w:tcPr>
            <w:tcW w:w="680" w:type="dxa"/>
            <w:vAlign w:val="center"/>
          </w:tcPr>
          <w:p w14:paraId="0F039F72">
            <w:pPr>
              <w:spacing w:before="40" w:after="40" w:line="240" w:lineRule="auto"/>
              <w:ind w:left="0" w:right="0" w:firstLine="0"/>
              <w:jc w:val="right"/>
            </w:pPr>
            <w:r>
              <w:rPr>
                <w:rFonts w:ascii="Times New Roman" w:hAnsi="Times New Roman"/>
                <w:sz w:val="20"/>
              </w:rPr>
              <w:t>(10)</w:t>
            </w:r>
          </w:p>
        </w:tc>
      </w:tr>
    </w:tbl>
    <w:p w14:paraId="377901E2">
      <w:pPr>
        <w:pStyle w:val="23"/>
      </w:pPr>
      <w:r>
        <w:t xml:space="preserve">estimated on consistently weighted samples so that the same normalisation cancellation applies. The estimator matters: eigenvalues of the sample-averaged local-energy matrix, </w:t>
      </w:r>
      <m:oMath>
        <m:r>
          <m:rPr>
            <m:sty m:val="p"/>
          </m:rPr>
          <m:t>eig⟨</m:t>
        </m:r>
        <m:sSub>
          <m:sSubPr/>
          <m:e>
            <m:r>
              <m:rPr/>
              <m:t>E</m:t>
            </m:r>
          </m:e>
          <m:sub>
            <m:r>
              <m:rPr/>
              <m:t>L</m:t>
            </m:r>
          </m:sub>
        </m:sSub>
        <m:r>
          <m:rPr>
            <m:sty m:val="p"/>
          </m:rPr>
          <m:t>⟩</m:t>
        </m:r>
      </m:oMath>
      <w:r>
        <w:t xml:space="preserve">, reproduce only </w:t>
      </w:r>
      <m:oMath>
        <m:r>
          <m:rPr>
            <m:sty m:val="p"/>
          </m:rPr>
          <m:t>tr</m:t>
        </m:r>
        <m:r>
          <m:rPr>
            <m:sty m:val="p"/>
            <m:scr m:val="script"/>
          </m:rPr>
          <m:t>ℒ</m:t>
        </m:r>
      </m:oMath>
      <w:r>
        <w:t xml:space="preserve"> and are </w:t>
      </w:r>
      <w:r>
        <w:rPr>
          <w:i/>
          <w:iCs/>
        </w:rPr>
        <w:t>not</w:t>
      </w:r>
      <w:r>
        <w:t xml:space="preserve"> the subspace eigenvalues for </w:t>
      </w:r>
      <m:oMath>
        <m:r>
          <m:rPr/>
          <m:t>K</m:t>
        </m:r>
        <m:r>
          <m:rPr>
            <m:sty m:val="p"/>
          </m:rPr>
          <m:t>≥</m:t>
        </m:r>
        <m:r>
          <m:rPr/>
          <m:t>2</m:t>
        </m:r>
      </m:oMath>
      <w:r>
        <w:t>; in our H</w:t>
      </w:r>
      <m:oMath>
        <m:sSub>
          <m:sSubPr/>
          <m:e>
            <m:r>
              <m:rPr/>
              <m:t>​</m:t>
            </m:r>
          </m:e>
          <m:sub>
            <m:r>
              <m:rPr/>
              <m:t>2</m:t>
            </m:r>
          </m:sub>
        </m:sSub>
      </m:oMath>
      <w:r>
        <w:t xml:space="preserve"> run they undershoot the extraction values by more than an order of magnitude in accuracy (0.098 vs. 0.009 mHa for the same run). Equation (11) is the quantity to report.</w:t>
      </w:r>
    </w:p>
    <w:bookmarkEnd w:id="6"/>
    <w:p w14:paraId="45051D3B">
      <w:pPr>
        <w:pStyle w:val="4"/>
      </w:pPr>
      <w:bookmarkStart w:id="7" w:name="training-algorithm"/>
      <w:r>
        <w:rPr>
          <w:b/>
        </w:rPr>
        <w:t xml:space="preserve">2.5  </w:t>
      </w:r>
      <w:r>
        <w:t>Training algorithm</w:t>
      </w:r>
    </w:p>
    <w:p w14:paraId="03B7C07D">
      <w:pPr>
        <w:pStyle w:val="23"/>
      </w:pPr>
      <w:r>
        <w:t>One expansion cycle is organised as follows.</w:t>
      </w:r>
    </w:p>
    <w:p w14:paraId="2BC5FEBD">
      <w:pPr>
        <w:numPr>
          <w:ilvl w:val="0"/>
          <w:numId w:val="1"/>
        </w:numPr>
      </w:pPr>
      <w:r>
        <w:t xml:space="preserve">Load a converged </w:t>
      </w:r>
      <m:oMath>
        <m:r>
          <m:rPr/>
          <m:t>J</m:t>
        </m:r>
      </m:oMath>
      <w:r>
        <w:t xml:space="preserve">-state solution </w:t>
      </w:r>
      <m:oMath>
        <m:d>
          <m:dPr>
            <m:sepChr m:val=""/>
          </m:dPr>
          <m:e>
            <m:sSup>
              <m:sSupPr/>
              <m:e>
                <m:r>
                  <m:rPr/>
                  <m:t>θ</m:t>
                </m:r>
              </m:e>
              <m:sup>
                <m:r>
                  <m:rPr>
                    <m:sty m:val="p"/>
                  </m:rPr>
                  <m:t>∗</m:t>
                </m:r>
              </m:sup>
            </m:sSup>
            <m:r>
              <m:rPr>
                <m:sty m:val="p"/>
              </m:rPr>
              <m:t>,</m:t>
            </m:r>
            <m:sSub>
              <m:sSubPr/>
              <m:e>
                <m:r>
                  <m:rPr/>
                  <m:t>v</m:t>
                </m:r>
              </m:e>
              <m:sub>
                <m:r>
                  <m:rPr>
                    <m:sty m:val="p"/>
                  </m:rPr>
                  <m:t>rot</m:t>
                </m:r>
              </m:sub>
            </m:sSub>
          </m:e>
        </m:d>
      </m:oMath>
      <w:r>
        <w:t xml:space="preserve"> and diagonalise its Ritz problem; select the </w:t>
      </w:r>
      <m:oMath>
        <m:r>
          <m:rPr/>
          <m:t>r</m:t>
        </m:r>
        <m:r>
          <m:rPr>
            <m:sty m:val="p"/>
          </m:rPr>
          <m:t>≤</m:t>
        </m:r>
        <m:r>
          <m:rPr/>
          <m:t>J</m:t>
        </m:r>
      </m:oMath>
      <w:r>
        <w:t xml:space="preserve"> columns to freeze.</w:t>
      </w:r>
    </w:p>
    <w:p w14:paraId="4CD5B6F8">
      <w:pPr>
        <w:numPr>
          <w:ilvl w:val="0"/>
          <w:numId w:val="1"/>
        </w:numPr>
      </w:pPr>
      <w:r>
        <w:t>Build the frozen columns as pointwise functions, Eq. (4), and record their scales; the old parameters are kept but never updated.</w:t>
      </w:r>
    </w:p>
    <w:p w14:paraId="25E0D8C4">
      <w:pPr>
        <w:numPr>
          <w:ilvl w:val="0"/>
          <w:numId w:val="1"/>
        </w:numPr>
      </w:pPr>
      <w:r>
        <w:t xml:space="preserve">Draw auxiliary samples from </w:t>
      </w:r>
      <m:oMath>
        <m:r>
          <m:rPr/>
          <m:t>q</m:t>
        </m:r>
      </m:oMath>
      <w:r>
        <w:t xml:space="preserve">, Eq. (7), and accumulate </w:t>
      </w:r>
      <m:oMath>
        <m:acc>
          <m:accPr/>
          <m:e>
            <m:r>
              <m:rPr/>
              <m:t>G</m:t>
            </m:r>
          </m:e>
        </m:acc>
      </m:oMath>
      <w:r>
        <w:t xml:space="preserve"> and </w:t>
      </w:r>
      <m:oMath>
        <m:acc>
          <m:accPr/>
          <m:e>
            <m:r>
              <m:rPr/>
              <m:t>M</m:t>
            </m:r>
          </m:e>
        </m:acc>
      </m:oMath>
      <w:r>
        <w:t xml:space="preserve">; solve for </w:t>
      </w:r>
      <m:oMath>
        <m:r>
          <m:rPr/>
          <m:t>c</m:t>
        </m:r>
      </m:oMath>
      <w:r>
        <w:t xml:space="preserve"> with a diagonal shift and a truncated pseudo-inverse.</w:t>
      </w:r>
    </w:p>
    <w:p w14:paraId="4B0D577F">
      <w:pPr>
        <w:numPr>
          <w:ilvl w:val="0"/>
          <w:numId w:val="1"/>
        </w:numPr>
      </w:pPr>
      <w:r>
        <w:t xml:space="preserve">Draw main samples from the replicated distribution </w:t>
      </w:r>
      <m:oMath>
        <m:sSup>
          <m:sSupPr/>
          <m:e>
            <m:d>
              <m:dPr>
                <m:begChr m:val="|"/>
                <m:sepChr m:val=""/>
                <m:endChr m:val="|"/>
              </m:dPr>
              <m:e>
                <m:sSub>
                  <m:sSubPr/>
                  <m:e>
                    <m:r>
                      <m:rPr/>
                      <m:t>Ψ</m:t>
                    </m:r>
                  </m:e>
                  <m:sub>
                    <m:r>
                      <m:rPr/>
                      <m:t>F</m:t>
                    </m:r>
                  </m:sub>
                </m:sSub>
              </m:e>
            </m:d>
          </m:e>
          <m:sup>
            <m:r>
              <m:rPr/>
              <m:t>2</m:t>
            </m:r>
          </m:sup>
        </m:sSup>
      </m:oMath>
      <w:r>
        <w:t xml:space="preserve">, evaluate </w:t>
      </w:r>
      <m:oMath>
        <m:sSub>
          <m:sSubPr/>
          <m:e>
            <m:r>
              <m:rPr/>
              <m:t>Ψ</m:t>
            </m:r>
          </m:e>
          <m:sub>
            <m:r>
              <m:rPr/>
              <m:t>F</m:t>
            </m:r>
          </m:sub>
        </m:sSub>
        <m:r>
          <m:rPr>
            <m:sty m:val="p"/>
          </m:rPr>
          <m:t>=det</m:t>
        </m:r>
        <m:d>
          <m:dPr>
            <m:begChr m:val="["/>
            <m:sepChr m:val=""/>
            <m:endChr m:val="]"/>
          </m:dPr>
          <m:e>
            <m:r>
              <m:rPr/>
              <m:t>Φ</m:t>
            </m:r>
            <m:r>
              <m:rPr>
                <m:sty m:val="p"/>
              </m:rPr>
              <m:t>|</m:t>
            </m:r>
            <m:r>
              <m:rPr/>
              <m:t>C</m:t>
            </m:r>
          </m:e>
        </m:d>
      </m:oMath>
      <w:r>
        <w:t>, the local-energy matrix and the loss of Eq. (2) on the active block.</w:t>
      </w:r>
    </w:p>
    <w:p w14:paraId="303C6780">
      <w:pPr>
        <w:numPr>
          <w:ilvl w:val="0"/>
          <w:numId w:val="1"/>
        </w:numPr>
      </w:pPr>
      <w:r>
        <w:t xml:space="preserve">Update only </w:t>
      </w:r>
      <m:oMath>
        <m:r>
          <m:rPr/>
          <m:t>θ</m:t>
        </m:r>
      </m:oMath>
      <w:r>
        <w:t xml:space="preserve"> and </w:t>
      </w:r>
      <m:oMath>
        <m:r>
          <m:rPr/>
          <m:t>C</m:t>
        </m:r>
      </m:oMath>
      <w:r>
        <w:t xml:space="preserve"> by stochastic reconfiguration, rescaling the columns with exponential moving averages; the frozen block enters as a constant reference.</w:t>
      </w:r>
    </w:p>
    <w:p w14:paraId="3BC3352B">
      <w:pPr>
        <w:numPr>
          <w:ilvl w:val="0"/>
          <w:numId w:val="1"/>
        </w:numPr>
      </w:pPr>
      <w:r>
        <w:t xml:space="preserve">Every few steps, solve the weighted eigenproblem of Eq. (10) and monitor </w:t>
      </w:r>
      <m:oMath>
        <m:sSub>
          <m:sSubPr/>
          <m:e>
            <m:r>
              <m:rPr/>
              <m:t>λ</m:t>
            </m:r>
          </m:e>
          <m:sub>
            <m:r>
              <m:rPr/>
              <m:t>k</m:t>
            </m:r>
          </m:sub>
        </m:sSub>
      </m:oMath>
      <w:r>
        <w:t xml:space="preserve"> together with the diagnostics of Section 3.3.</w:t>
      </w:r>
    </w:p>
    <w:p w14:paraId="1802D22E">
      <w:pPr>
        <w:numPr>
          <w:ilvl w:val="0"/>
          <w:numId w:val="1"/>
        </w:numPr>
      </w:pPr>
      <w:r>
        <w:t xml:space="preserve">At the end, extract </w:t>
      </w:r>
      <m:oMath>
        <m:sSub>
          <m:sSubPr/>
          <m:e>
            <m:r>
              <m:rPr/>
              <m:t>λ</m:t>
            </m:r>
          </m:e>
          <m:sub>
            <m:r>
              <m:rPr/>
              <m:t>k</m:t>
            </m:r>
          </m:sub>
        </m:sSub>
      </m:oMath>
      <w:r>
        <w:t xml:space="preserve"> and the corresponding pointwise recipes; no dense object is written to disk.</w:t>
      </w:r>
    </w:p>
    <w:p w14:paraId="44016B96">
      <w:pPr>
        <w:pStyle w:val="23"/>
      </w:pPr>
      <w:r>
        <w:t>The auxiliary sampler is what makes the scheme practical: it converts full-space inner products into ordinary Monte Carlo averages, at the price of one extra sampling stage whose distribution has to cover both the frozen and the active support.</w:t>
      </w:r>
    </w:p>
    <w:p w14:paraId="1FAF8171">
      <w:pPr>
        <w:pStyle w:val="3"/>
      </w:pPr>
      <w:r>
        <w:t xml:space="preserve">Two numerical safeguards are worth mentioning. First, the column scales of the active networks drift during training, and the projection coefficients must be transformed together with them; otherwise the frozen subtraction becomes inconsistent and the determinant loses rank. We therefore keep exponential moving averages of the scales and apply the corresponding similarity transformation to </w:t>
      </w:r>
      <m:oMath>
        <m:r>
          <m:rPr/>
          <m:t>c</m:t>
        </m:r>
      </m:oMath>
      <w:r>
        <w:t xml:space="preserve">. Second, sampling the replicated distribution </w:t>
      </w:r>
      <m:oMath>
        <m:sSup>
          <m:sSupPr/>
          <m:e>
            <m:d>
              <m:dPr>
                <m:begChr m:val="|"/>
                <m:sepChr m:val=""/>
                <m:endChr m:val="|"/>
              </m:dPr>
              <m:e>
                <m:sSub>
                  <m:sSubPr/>
                  <m:e>
                    <m:r>
                      <m:rPr/>
                      <m:t>Ψ</m:t>
                    </m:r>
                  </m:e>
                  <m:sub>
                    <m:r>
                      <m:rPr/>
                      <m:t>F</m:t>
                    </m:r>
                  </m:sub>
                </m:sSub>
              </m:e>
            </m:d>
          </m:e>
          <m:sup>
            <m:r>
              <m:rPr/>
              <m:t>2</m:t>
            </m:r>
          </m:sup>
        </m:sSup>
      </m:oMath>
      <w:r>
        <w:t xml:space="preserve"> with frozen columns gives zero-variance amplitudes for the frozen block when only active columns change, which would freeze the estimator; the importance-weighted loss removes this degeneracy by reweighting each replica with the ratio of the current to the sampling distribution.</w:t>
      </w:r>
    </w:p>
    <w:bookmarkEnd w:id="7"/>
    <w:p w14:paraId="1F2BC40E">
      <w:pPr>
        <w:pStyle w:val="4"/>
      </w:pPr>
      <w:bookmarkStart w:id="8" w:name="error-budget"/>
      <w:r>
        <w:rPr>
          <w:b/>
        </w:rPr>
        <w:t xml:space="preserve">2.6  </w:t>
      </w:r>
      <w:r>
        <w:t>Error budget</w:t>
      </w:r>
    </w:p>
    <w:p w14:paraId="600DBC4F">
      <w:pPr>
        <w:pStyle w:val="23"/>
      </w:pPr>
      <w:r>
        <w:t>The retrieved level can be written as the projected Rayleigh quotient plus two corrections,</w:t>
      </w:r>
    </w:p>
    <w:tbl>
      <w:tblPr>
        <w:tblStyle w:val="18"/>
        <w:tblW w:w="48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10"/>
        <w:gridCol w:w="3628"/>
        <w:gridCol w:w="680"/>
      </w:tblGrid>
      <w:tr w14:paraId="69B96A6B">
        <w:trPr>
          <w:cantSplit/>
          <w:trHeight w:val="240" w:hRule="atLeast"/>
          <w:jc w:val="center"/>
        </w:trPr>
        <w:tc>
          <w:tcPr>
            <w:tcW w:w="510" w:type="dxa"/>
            <w:vAlign w:val="center"/>
          </w:tcPr>
          <w:p w14:paraId="68A86741">
            <w:pPr>
              <w:spacing w:before="40" w:after="40" w:line="240" w:lineRule="auto"/>
              <w:ind w:left="0" w:right="0" w:firstLine="0"/>
              <w:jc w:val="left"/>
            </w:pPr>
          </w:p>
        </w:tc>
        <w:tc>
          <w:tcPr>
            <w:tcW w:w="3628" w:type="dxa"/>
            <w:vAlign w:val="center"/>
          </w:tcPr>
          <w:p w14:paraId="31E0220C">
            <w:pPr>
              <w:spacing w:before="40" w:after="40" w:line="240" w:lineRule="auto"/>
              <w:ind w:left="0" w:right="0" w:firstLine="0"/>
              <w:jc w:val="center"/>
            </w:pPr>
            <m:oMathPara>
              <m:oMath>
                <m:sSub>
                  <m:sSubPr/>
                  <m:e>
                    <m:r>
                      <m:rPr/>
                      <m:t>λ</m:t>
                    </m:r>
                  </m:e>
                  <m:sub>
                    <m:r>
                      <m:rPr/>
                      <m:t>k</m:t>
                    </m:r>
                  </m:sub>
                </m:sSub>
                <m:r>
                  <m:rPr>
                    <m:sty m:val="p"/>
                  </m:rPr>
                  <m:t>=</m:t>
                </m:r>
                <m:f>
                  <m:fPr/>
                  <m:num>
                    <m:r>
                      <m:rPr>
                        <m:sty m:val="p"/>
                      </m:rPr>
                      <m:t>⟨</m:t>
                    </m:r>
                    <m:sSub>
                      <m:sSubPr/>
                      <m:e>
                        <m:r>
                          <m:rPr/>
                          <m:t>χ</m:t>
                        </m:r>
                      </m:e>
                      <m:sub>
                        <m:r>
                          <m:rPr/>
                          <m:t>k</m:t>
                        </m:r>
                      </m:sub>
                    </m:sSub>
                    <m:r>
                      <m:rPr>
                        <m:sty m:val="p"/>
                      </m:rPr>
                      <m:t>|</m:t>
                    </m:r>
                    <m:r>
                      <m:rPr/>
                      <m:t>H</m:t>
                    </m:r>
                    <m:r>
                      <m:rPr>
                        <m:sty m:val="p"/>
                      </m:rPr>
                      <m:t>|</m:t>
                    </m:r>
                    <m:sSub>
                      <m:sSubPr/>
                      <m:e>
                        <m:r>
                          <m:rPr/>
                          <m:t>χ</m:t>
                        </m:r>
                      </m:e>
                      <m:sub>
                        <m:r>
                          <m:rPr/>
                          <m:t>k</m:t>
                        </m:r>
                      </m:sub>
                    </m:sSub>
                    <m:r>
                      <m:rPr>
                        <m:sty m:val="p"/>
                      </m:rPr>
                      <m:t>⟩</m:t>
                    </m:r>
                  </m:num>
                  <m:den>
                    <m:r>
                      <m:rPr>
                        <m:sty m:val="p"/>
                      </m:rPr>
                      <m:t>⟨</m:t>
                    </m:r>
                    <m:sSub>
                      <m:sSubPr/>
                      <m:e>
                        <m:r>
                          <m:rPr/>
                          <m:t>χ</m:t>
                        </m:r>
                      </m:e>
                      <m:sub>
                        <m:r>
                          <m:rPr/>
                          <m:t>k</m:t>
                        </m:r>
                      </m:sub>
                    </m:sSub>
                    <m:r>
                      <m:rPr>
                        <m:sty m:val="p"/>
                      </m:rPr>
                      <m:t>|</m:t>
                    </m:r>
                    <m:sSub>
                      <m:sSubPr/>
                      <m:e>
                        <m:r>
                          <m:rPr/>
                          <m:t>χ</m:t>
                        </m:r>
                      </m:e>
                      <m:sub>
                        <m:r>
                          <m:rPr/>
                          <m:t>k</m:t>
                        </m:r>
                      </m:sub>
                    </m:sSub>
                    <m:r>
                      <m:rPr>
                        <m:sty m:val="p"/>
                      </m:rPr>
                      <m:t>⟩</m:t>
                    </m:r>
                  </m:den>
                </m:f>
                <m:r>
                  <m:rPr>
                    <m:sty m:val="p"/>
                  </m:rPr>
                  <m:t>=</m:t>
                </m:r>
                <m:sSubSup>
                  <m:sSubSupPr/>
                  <m:e>
                    <m:r>
                      <m:rPr/>
                      <m:t>λ</m:t>
                    </m:r>
                  </m:e>
                  <m:sub>
                    <m:r>
                      <m:rPr/>
                      <m:t>k</m:t>
                    </m:r>
                  </m:sub>
                  <m:sup>
                    <m:r>
                      <m:rPr>
                        <m:sty m:val="p"/>
                      </m:rPr>
                      <m:t>proj</m:t>
                    </m:r>
                  </m:sup>
                </m:sSubSup>
                <m:r>
                  <m:rPr>
                    <m:sty m:val="p"/>
                  </m:rPr>
                  <m:t>+</m:t>
                </m:r>
                <m:sSubSup>
                  <m:sSubSupPr/>
                  <m:e>
                    <m:r>
                      <m:rPr/>
                      <m:t>Δ</m:t>
                    </m:r>
                  </m:e>
                  <m:sub>
                    <m:r>
                      <m:rPr/>
                      <m:t>k</m:t>
                    </m:r>
                  </m:sub>
                  <m:sup>
                    <m:r>
                      <m:rPr>
                        <m:sty m:val="p"/>
                      </m:rPr>
                      <m:t>proj</m:t>
                    </m:r>
                  </m:sup>
                </m:sSubSup>
                <m:r>
                  <m:rPr>
                    <m:sty m:val="p"/>
                  </m:rPr>
                  <m:t>+</m:t>
                </m:r>
                <m:sSubSup>
                  <m:sSubSupPr/>
                  <m:e>
                    <m:r>
                      <m:rPr/>
                      <m:t>Δ</m:t>
                    </m:r>
                  </m:e>
                  <m:sub>
                    <m:r>
                      <m:rPr/>
                      <m:t>k</m:t>
                    </m:r>
                  </m:sub>
                  <m:sup>
                    <m:r>
                      <m:rPr>
                        <m:sty m:val="p"/>
                      </m:rPr>
                      <m:t>stat</m:t>
                    </m:r>
                  </m:sup>
                </m:sSubSup>
                <m:r>
                  <m:rPr>
                    <m:sty m:val="p"/>
                  </m:rPr>
                  <m:t>,</m:t>
                </m:r>
              </m:oMath>
            </m:oMathPara>
          </w:p>
        </w:tc>
        <w:tc>
          <w:tcPr>
            <w:tcW w:w="680" w:type="dxa"/>
            <w:vAlign w:val="center"/>
          </w:tcPr>
          <w:p w14:paraId="51922B0F">
            <w:pPr>
              <w:spacing w:before="40" w:after="40" w:line="240" w:lineRule="auto"/>
              <w:ind w:left="0" w:right="0" w:firstLine="0"/>
              <w:jc w:val="right"/>
            </w:pPr>
            <w:r>
              <w:rPr>
                <w:rFonts w:ascii="Times New Roman" w:hAnsi="Times New Roman"/>
                <w:sz w:val="20"/>
              </w:rPr>
              <w:t>(11)</w:t>
            </w:r>
          </w:p>
        </w:tc>
      </w:tr>
    </w:tbl>
    <w:p w14:paraId="10A3208B">
      <w:pPr>
        <w:pStyle w:val="23"/>
      </w:pPr>
      <w:r>
        <w:t>where the projection bias is controlled by the residual of the frozen manifold and the statistical term by the effective sample size,</w:t>
      </w:r>
    </w:p>
    <w:tbl>
      <w:tblPr>
        <w:tblStyle w:val="18"/>
        <w:tblW w:w="48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10"/>
        <w:gridCol w:w="3628"/>
        <w:gridCol w:w="680"/>
      </w:tblGrid>
      <w:tr w14:paraId="5D9A29E2">
        <w:trPr>
          <w:cantSplit/>
          <w:trHeight w:val="240" w:hRule="atLeast"/>
          <w:jc w:val="center"/>
        </w:trPr>
        <w:tc>
          <w:tcPr>
            <w:tcW w:w="510" w:type="dxa"/>
            <w:vAlign w:val="center"/>
          </w:tcPr>
          <w:p w14:paraId="53C883B4">
            <w:pPr>
              <w:spacing w:before="40" w:after="40" w:line="240" w:lineRule="auto"/>
              <w:ind w:left="0" w:right="0" w:firstLine="0"/>
              <w:jc w:val="left"/>
            </w:pPr>
          </w:p>
        </w:tc>
        <w:tc>
          <w:tcPr>
            <w:tcW w:w="3628" w:type="dxa"/>
            <w:vAlign w:val="center"/>
          </w:tcPr>
          <w:p w14:paraId="06B5F461">
            <w:pPr>
              <w:spacing w:before="40" w:after="40" w:line="240" w:lineRule="auto"/>
              <w:ind w:left="0" w:right="0" w:firstLine="0"/>
              <w:jc w:val="center"/>
            </w:pPr>
            <m:oMathPara>
              <m:oMath>
                <m:r>
                  <m:rPr>
                    <m:sty m:val="p"/>
                  </m:rPr>
                  <m:t>|</m:t>
                </m:r>
                <m:sSubSup>
                  <m:sSubSupPr/>
                  <m:e>
                    <m:r>
                      <m:rPr/>
                      <m:t>Δ</m:t>
                    </m:r>
                  </m:e>
                  <m:sub>
                    <m:r>
                      <m:rPr/>
                      <m:t>k</m:t>
                    </m:r>
                  </m:sub>
                  <m:sup>
                    <m:r>
                      <m:rPr>
                        <m:sty m:val="p"/>
                      </m:rPr>
                      <m:t>proj</m:t>
                    </m:r>
                  </m:sup>
                </m:sSubSup>
                <m:r>
                  <m:rPr>
                    <m:sty m:val="p"/>
                  </m:rPr>
                  <m:t>|≲</m:t>
                </m:r>
                <m:f>
                  <m:fPr/>
                  <m:num>
                    <m:d>
                      <m:dPr>
                        <m:begChr m:val="‖"/>
                        <m:sepChr m:val=""/>
                        <m:endChr m:val="‖"/>
                      </m:dPr>
                      <m:e>
                        <m:d>
                          <m:dPr>
                            <m:sepChr m:val=""/>
                          </m:dPr>
                          <m:e>
                            <m:r>
                              <m:rPr/>
                              <m:t>1</m:t>
                            </m:r>
                            <m:r>
                              <m:rPr>
                                <m:sty m:val="p"/>
                              </m:rPr>
                              <m:t>−</m:t>
                            </m:r>
                            <m:r>
                              <m:rPr/>
                              <m:t>P</m:t>
                            </m:r>
                          </m:e>
                        </m:d>
                        <m:r>
                          <m:rPr/>
                          <m:t>HP</m:t>
                        </m:r>
                        <m:sSub>
                          <m:sSubPr/>
                          <m:e>
                            <m:r>
                              <m:rPr/>
                              <m:t>χ</m:t>
                            </m:r>
                          </m:e>
                          <m:sub>
                            <m:r>
                              <m:rPr/>
                              <m:t>k</m:t>
                            </m:r>
                          </m:sub>
                        </m:sSub>
                      </m:e>
                    </m:d>
                  </m:num>
                  <m:den>
                    <m:d>
                      <m:dPr>
                        <m:begChr m:val="‖"/>
                        <m:sepChr m:val=""/>
                        <m:endChr m:val="‖"/>
                      </m:dPr>
                      <m:e>
                        <m:sSub>
                          <m:sSubPr/>
                          <m:e>
                            <m:r>
                              <m:rPr/>
                              <m:t>χ</m:t>
                            </m:r>
                          </m:e>
                          <m:sub>
                            <m:r>
                              <m:rPr/>
                              <m:t>k</m:t>
                            </m:r>
                          </m:sub>
                        </m:sSub>
                      </m:e>
                    </m:d>
                  </m:den>
                </m:f>
                <m:r>
                  <m:rPr>
                    <m:sty m:val="p"/>
                  </m:rPr>
                  <m:t>+</m:t>
                </m:r>
                <m:r>
                  <m:rPr>
                    <m:sty m:val="p"/>
                    <m:scr m:val="script"/>
                  </m:rPr>
                  <m:t>O</m:t>
                </m:r>
                <m:d>
                  <m:dPr>
                    <m:sepChr m:val=""/>
                  </m:dPr>
                  <m:e>
                    <m:sSubSup>
                      <m:sSubSupPr/>
                      <m:e>
                        <m:r>
                          <m:rPr/>
                          <m:t>η</m:t>
                        </m:r>
                      </m:e>
                      <m:sub>
                        <m:r>
                          <m:rPr>
                            <m:sty m:val="p"/>
                          </m:rPr>
                          <m:t>fr</m:t>
                        </m:r>
                      </m:sub>
                      <m:sup>
                        <m:r>
                          <m:rPr/>
                          <m:t>2</m:t>
                        </m:r>
                      </m:sup>
                    </m:sSubSup>
                  </m:e>
                </m:d>
                <m:r>
                  <m:rPr>
                    <m:sty m:val="p"/>
                  </m:rPr>
                  <m:t>,</m:t>
                </m:r>
              </m:oMath>
            </m:oMathPara>
          </w:p>
        </w:tc>
        <w:tc>
          <w:tcPr>
            <w:tcW w:w="680" w:type="dxa"/>
            <w:vAlign w:val="center"/>
          </w:tcPr>
          <w:p w14:paraId="59290B59">
            <w:pPr>
              <w:spacing w:before="40" w:after="40" w:line="240" w:lineRule="auto"/>
              <w:ind w:left="0" w:right="0" w:firstLine="0"/>
              <w:jc w:val="right"/>
            </w:pPr>
            <w:r>
              <w:rPr>
                <w:rFonts w:ascii="Times New Roman" w:hAnsi="Times New Roman"/>
                <w:sz w:val="20"/>
              </w:rPr>
              <w:t>(12)</w:t>
            </w:r>
          </w:p>
        </w:tc>
      </w:tr>
    </w:tbl>
    <w:p w14:paraId="652657C8">
      <w:pPr>
        <w:pStyle w:val="23"/>
      </w:pPr>
      <w:r>
        <w:t>and the statistical term is set by the effective sample size,</w:t>
      </w:r>
    </w:p>
    <w:tbl>
      <w:tblPr>
        <w:tblStyle w:val="18"/>
        <w:tblW w:w="48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10"/>
        <w:gridCol w:w="3628"/>
        <w:gridCol w:w="680"/>
      </w:tblGrid>
      <w:tr w14:paraId="43274CB5">
        <w:trPr>
          <w:cantSplit/>
          <w:trHeight w:val="240" w:hRule="atLeast"/>
          <w:jc w:val="center"/>
        </w:trPr>
        <w:tc>
          <w:tcPr>
            <w:tcW w:w="510" w:type="dxa"/>
            <w:vAlign w:val="center"/>
          </w:tcPr>
          <w:p w14:paraId="0AC4699F">
            <w:pPr>
              <w:spacing w:before="40" w:after="40" w:line="240" w:lineRule="auto"/>
              <w:ind w:left="0" w:right="0" w:firstLine="0"/>
              <w:jc w:val="left"/>
            </w:pPr>
          </w:p>
        </w:tc>
        <w:tc>
          <w:tcPr>
            <w:tcW w:w="3628" w:type="dxa"/>
            <w:vAlign w:val="center"/>
          </w:tcPr>
          <w:p w14:paraId="094C5F28">
            <w:pPr>
              <w:spacing w:before="40" w:after="40" w:line="240" w:lineRule="auto"/>
              <w:ind w:left="0" w:right="0" w:firstLine="0"/>
              <w:jc w:val="center"/>
            </w:pPr>
            <m:oMathPara>
              <m:oMath>
                <m:sSubSup>
                  <m:sSubSupPr/>
                  <m:e>
                    <m:r>
                      <m:rPr/>
                      <m:t>Δ</m:t>
                    </m:r>
                  </m:e>
                  <m:sub>
                    <m:r>
                      <m:rPr/>
                      <m:t>k</m:t>
                    </m:r>
                  </m:sub>
                  <m:sup>
                    <m:r>
                      <m:rPr>
                        <m:sty m:val="p"/>
                      </m:rPr>
                      <m:t>stat</m:t>
                    </m:r>
                  </m:sup>
                </m:sSubSup>
                <m:r>
                  <m:rPr>
                    <m:sty m:val="p"/>
                  </m:rPr>
                  <m:t>∼</m:t>
                </m:r>
                <m:rad>
                  <m:radPr>
                    <m:degHide m:val="1"/>
                  </m:radPr>
                  <m:deg/>
                  <m:e>
                    <m:r>
                      <m:rPr>
                        <m:sty m:val="p"/>
                      </m:rPr>
                      <m:t>Var</m:t>
                    </m:r>
                    <m:d>
                      <m:dPr>
                        <m:begChr m:val="["/>
                        <m:sepChr m:val=""/>
                        <m:endChr m:val="]"/>
                      </m:dPr>
                      <m:e>
                        <m:sSub>
                          <m:sSubPr/>
                          <m:e>
                            <m:acc>
                              <m:accPr/>
                              <m:e>
                                <m:r>
                                  <m:rPr/>
                                  <m:t>λ</m:t>
                                </m:r>
                              </m:e>
                            </m:acc>
                          </m:e>
                          <m:sub>
                            <m:r>
                              <m:rPr/>
                              <m:t>k</m:t>
                            </m:r>
                          </m:sub>
                        </m:sSub>
                      </m:e>
                    </m:d>
                    <m:r>
                      <m:rPr>
                        <m:sty m:val="p"/>
                      </m:rPr>
                      <m:t>/</m:t>
                    </m:r>
                    <m:sSub>
                      <m:sSubPr/>
                      <m:e>
                        <m:r>
                          <m:rPr/>
                          <m:t>N</m:t>
                        </m:r>
                      </m:e>
                      <m:sub>
                        <m:r>
                          <m:rPr>
                            <m:sty m:val="p"/>
                          </m:rPr>
                          <m:t>eff</m:t>
                        </m:r>
                      </m:sub>
                    </m:sSub>
                  </m:e>
                </m:rad>
                <m:r>
                  <m:rPr>
                    <m:sty m:val="p"/>
                  </m:rPr>
                  <m:t>.</m:t>
                </m:r>
              </m:oMath>
            </m:oMathPara>
          </w:p>
        </w:tc>
        <w:tc>
          <w:tcPr>
            <w:tcW w:w="680" w:type="dxa"/>
            <w:vAlign w:val="center"/>
          </w:tcPr>
          <w:p w14:paraId="1E870426">
            <w:pPr>
              <w:spacing w:before="40" w:after="40" w:line="240" w:lineRule="auto"/>
              <w:ind w:left="0" w:right="0" w:firstLine="0"/>
              <w:jc w:val="right"/>
            </w:pPr>
            <w:r>
              <w:rPr>
                <w:rFonts w:ascii="Times New Roman" w:hAnsi="Times New Roman"/>
                <w:sz w:val="20"/>
              </w:rPr>
              <w:t>(13)</w:t>
            </w:r>
          </w:p>
        </w:tc>
      </w:tr>
    </w:tbl>
    <w:p w14:paraId="15707E7F">
      <w:pPr>
        <w:pStyle w:val="23"/>
      </w:pPr>
      <w:r>
        <w:t xml:space="preserve">with </w:t>
      </w:r>
      <m:oMath>
        <m:r>
          <m:rPr/>
          <m:t>P</m:t>
        </m:r>
      </m:oMath>
      <w:r>
        <w:t xml:space="preserve"> the projector onto </w:t>
      </w:r>
      <m:oMath>
        <m:r>
          <m:rPr>
            <m:sty m:val="p"/>
          </m:rPr>
          <m:t>span</m:t>
        </m:r>
        <m:r>
          <m:rPr/>
          <m:t>Φ</m:t>
        </m:r>
      </m:oMath>
      <w:r>
        <w:t xml:space="preserve"> and </w:t>
      </w:r>
      <m:oMath>
        <m:sSub>
          <m:sSubPr/>
          <m:e>
            <m:r>
              <m:rPr/>
              <m:t>η</m:t>
            </m:r>
          </m:e>
          <m:sub>
            <m:r>
              <m:rPr>
                <m:sty m:val="p"/>
              </m:rPr>
              <m:t>fr</m:t>
            </m:r>
          </m:sub>
        </m:sSub>
      </m:oMath>
      <w:r>
        <w:t xml:space="preserve"> the frozen residual. The two corrections are what make the diagnostics actionable: </w:t>
      </w:r>
      <m:oMath>
        <m:sSup>
          <m:sSupPr/>
          <m:e>
            <m:r>
              <m:rPr/>
              <m:t>Δ</m:t>
            </m:r>
          </m:e>
          <m:sup>
            <m:r>
              <m:rPr>
                <m:sty m:val="p"/>
              </m:rPr>
              <m:t>proj</m:t>
            </m:r>
          </m:sup>
        </m:sSup>
      </m:oMath>
      <w:r>
        <w:t xml:space="preserve"> is invisible in the loss, vanishes when the frozen states are exact eigenstates, and is the term that an oracle diagonalisation of </w:t>
      </w:r>
      <m:oMath>
        <m:r>
          <m:rPr/>
          <m:t>QHQ</m:t>
        </m:r>
      </m:oMath>
      <w:r>
        <w:t xml:space="preserve"> isolates. Because the two terms cannot be measured separately in a single run, we use the disagreement between the per-step monitor and the final extraction (Table 3) as a proxy for their sum: it is 0.03–0.17 mHa for the small blocks and exceeds 1 mHa once six active columns are used.</w:t>
      </w:r>
    </w:p>
    <w:bookmarkEnd w:id="1"/>
    <w:bookmarkEnd w:id="8"/>
    <w:p w14:paraId="7C3A48F7">
      <w:pPr>
        <w:pStyle w:val="2"/>
      </w:pPr>
      <w:bookmarkStart w:id="9" w:name="results"/>
      <w:r>
        <w:rPr>
          <w:b/>
        </w:rPr>
        <w:t xml:space="preserve">3. </w:t>
      </w:r>
      <w:r>
        <w:t>Results</w:t>
      </w:r>
    </w:p>
    <w:p w14:paraId="394EA2FF">
      <w:pPr>
        <w:pStyle w:val="4"/>
      </w:pPr>
      <w:bookmarkStart w:id="10" w:name="h_26-31g"/>
      <w:r>
        <w:rPr>
          <w:b/>
        </w:rPr>
        <w:t xml:space="preserve">3.1  </w:t>
      </w:r>
      <w:r>
        <w:t>H</w:t>
      </w:r>
      <m:oMath>
        <m:sSub>
          <m:sSubPr/>
          <m:e>
            <m:r>
              <m:rPr/>
              <m:t>​</m:t>
            </m:r>
          </m:e>
          <m:sub>
            <m:r>
              <m:rPr/>
              <m:t>2</m:t>
            </m:r>
          </m:sub>
        </m:sSub>
      </m:oMath>
      <w:r>
        <w:t>/6-31G</w:t>
      </w:r>
    </w:p>
    <w:p w14:paraId="40C7B6F6">
      <w:pPr>
        <w:pStyle w:val="23"/>
      </w:pPr>
      <w:r>
        <w:t>The first benchmark is H</w:t>
      </w:r>
      <m:oMath>
        <m:sSub>
          <m:sSubPr/>
          <m:e>
            <m:r>
              <m:rPr/>
              <m:t>​</m:t>
            </m:r>
          </m:e>
          <m:sub>
            <m:r>
              <m:rPr/>
              <m:t>2</m:t>
            </m:r>
          </m:sub>
        </m:sSub>
      </m:oMath>
      <w:r>
        <w:t xml:space="preserve"> in the 6-31G basis, CAS(2e,4o), i.e. eight spin orbitals and a 16-dimensional FCI space; the FCI ground state is </w:t>
      </w:r>
      <m:oMath>
        <m:sSub>
          <m:sSubPr/>
          <m:e>
            <m:r>
              <m:rPr/>
              <m:t>E</m:t>
            </m:r>
          </m:e>
          <m:sub>
            <m:r>
              <m:rPr/>
              <m:t>0</m:t>
            </m:r>
          </m:sub>
        </m:sSub>
        <m:r>
          <m:rPr>
            <m:sty m:val="p"/>
          </m:rPr>
          <m:t>=−</m:t>
        </m:r>
        <m:r>
          <m:rPr/>
          <m:t>1.05434745</m:t>
        </m:r>
      </m:oMath>
      <w:r>
        <w:t xml:space="preserve"> Ha. All training uses </w:t>
      </w:r>
      <m:oMath>
        <m:r>
          <m:rPr/>
          <m:t>16</m:t>
        </m:r>
        <m:r>
          <m:rPr>
            <m:sty m:val="p"/>
          </m:rPr>
          <m:t>×</m:t>
        </m:r>
        <m:r>
          <m:rPr/>
          <m:t>200</m:t>
        </m:r>
      </m:oMath>
      <w:r>
        <w:t xml:space="preserve"> MCMC chains with 20 sweeps, natural-gradient steps with </w:t>
      </w:r>
      <m:oMath>
        <m:r>
          <m:rPr>
            <m:sty m:val="p"/>
          </m:rPr>
          <m:t>lr=</m:t>
        </m:r>
        <m:r>
          <m:rPr/>
          <m:t>0.1</m:t>
        </m:r>
      </m:oMath>
      <w:r>
        <w:t xml:space="preserve"> and diagonal shift </w:t>
      </w:r>
      <m:oMath>
        <m:r>
          <m:rPr/>
          <m:t>0.1</m:t>
        </m:r>
      </m:oMath>
      <w:r>
        <w:t xml:space="preserve">, and an auxiliary sampler with 1024 chains and </w:t>
      </w:r>
      <m:oMath>
        <m:r>
          <m:rPr/>
          <m:t>ϵ</m:t>
        </m:r>
        <m:r>
          <m:rPr>
            <m:sty m:val="p"/>
          </m:rPr>
          <m:t>=</m:t>
        </m:r>
        <m:r>
          <m:rPr/>
          <m:t>0.25</m:t>
        </m:r>
      </m:oMath>
      <w:r>
        <w:t>. Dense Hamiltonians and FCI vectors are used for diagnostics only.</w:t>
      </w:r>
    </w:p>
    <w:p w14:paraId="6DB1A51A">
      <w:pPr>
        <w:pStyle w:val="3"/>
      </w:pPr>
      <w:r>
        <w:t xml:space="preserve">Table 1 and Fig. 2 summarise the outcome. Starting from a frozen four-state solution, adding four active states recovers </w:t>
      </w:r>
      <m:oMath>
        <m:sSub>
          <m:sSubPr/>
          <m:e>
            <m:r>
              <m:rPr/>
              <m:t>E</m:t>
            </m:r>
          </m:e>
          <m:sub>
            <m:r>
              <m:rPr/>
              <m:t>4</m:t>
            </m:r>
          </m:sub>
        </m:sSub>
      </m:oMath>
      <w:r>
        <w:t>–</w:t>
      </w:r>
      <m:oMath>
        <m:sSub>
          <m:sSubPr/>
          <m:e>
            <m:r>
              <m:rPr/>
              <m:t>E</m:t>
            </m:r>
          </m:e>
          <m:sub>
            <m:r>
              <m:rPr/>
              <m:t>7</m:t>
            </m:r>
          </m:sub>
        </m:sSub>
      </m:oMath>
      <w:r>
        <w:t xml:space="preserve"> with a maximum error of 0.009 mHa in 500 steps and 425 s, i.e. an order of magnitude better than a direct </w:t>
      </w:r>
      <m:oMath>
        <m:r>
          <m:rPr/>
          <m:t>K</m:t>
        </m:r>
        <m:r>
          <m:rPr>
            <m:sty m:val="p"/>
          </m:rPr>
          <m:t>=</m:t>
        </m:r>
        <m:r>
          <m:rPr/>
          <m:t>6</m:t>
        </m:r>
      </m:oMath>
      <w:r>
        <w:t xml:space="preserve"> optimisation that needed about 26 min for 1000 steps and still left </w:t>
      </w:r>
      <m:oMath>
        <m:sSub>
          <m:sSubPr/>
          <m:e>
            <m:r>
              <m:rPr/>
              <m:t>E</m:t>
            </m:r>
          </m:e>
          <m:sub>
            <m:r>
              <m:rPr/>
              <m:t>1</m:t>
            </m:r>
          </m:sub>
        </m:sSub>
      </m:oMath>
      <w:r>
        <w:t xml:space="preserve"> and </w:t>
      </w:r>
      <m:oMath>
        <m:sSub>
          <m:sSubPr/>
          <m:e>
            <m:r>
              <m:rPr/>
              <m:t>E</m:t>
            </m:r>
          </m:e>
          <m:sub>
            <m:r>
              <m:rPr/>
              <m:t>4</m:t>
            </m:r>
          </m:sub>
        </m:sSub>
      </m:oMath>
      <w:r>
        <w:t xml:space="preserve"> at 3.8 mHa. Adding only two active states is cheaper but leaves the second new level 0.8 mHa off, and adding six active states degrades the two highest levels (1.05 and 1.38 mHa), which indicates that the useful active-block size is set by conditioning rather than by cost alone. The same trend is visible in Fig. 2(b): the </w:t>
      </w:r>
      <m:oMath>
        <m:sSub>
          <m:sSubPr/>
          <m:e>
            <m:r>
              <m:rPr/>
              <m:t>K</m:t>
            </m:r>
          </m:e>
          <m:sub>
            <m:r>
              <m:rPr/>
              <m:t>a</m:t>
            </m:r>
          </m:sub>
        </m:sSub>
        <m:r>
          <m:rPr>
            <m:sty m:val="p"/>
          </m:rPr>
          <m:t>=</m:t>
        </m:r>
        <m:r>
          <m:rPr/>
          <m:t>4</m:t>
        </m:r>
      </m:oMath>
      <w:r>
        <w:t xml:space="preserve"> block is uniformly accurate, while larger or smaller blocks fail for particular levels.</w:t>
      </w:r>
    </w:p>
    <w:p w14:paraId="568DC433">
      <w:pPr>
        <w:pStyle w:val="3"/>
      </w:pPr>
      <w:r>
        <w:t xml:space="preserve">Expanding from a larger frozen manifold behaves differently. With </w:t>
      </w:r>
      <m:oMath>
        <m:sSub>
          <m:sSubPr/>
          <m:e>
            <m:r>
              <m:rPr/>
              <m:t>K</m:t>
            </m:r>
          </m:e>
          <m:sub>
            <m:r>
              <m:rPr/>
              <m:t>0</m:t>
            </m:r>
          </m:sub>
        </m:sSub>
        <m:r>
          <m:rPr>
            <m:sty m:val="p"/>
          </m:rPr>
          <m:t>=</m:t>
        </m:r>
        <m:r>
          <m:rPr/>
          <m:t>6</m:t>
        </m:r>
      </m:oMath>
      <w:r>
        <w:t xml:space="preserve"> frozen, two active states recover </w:t>
      </w:r>
      <m:oMath>
        <m:sSub>
          <m:sSubPr/>
          <m:e>
            <m:r>
              <m:rPr/>
              <m:t>E</m:t>
            </m:r>
          </m:e>
          <m:sub>
            <m:r>
              <m:rPr/>
              <m:t>6</m:t>
            </m:r>
          </m:sub>
        </m:sSub>
      </m:oMath>
      <w:r>
        <w:t xml:space="preserve"> and </w:t>
      </w:r>
      <m:oMath>
        <m:sSub>
          <m:sSubPr/>
          <m:e>
            <m:r>
              <m:rPr/>
              <m:t>E</m:t>
            </m:r>
          </m:e>
          <m:sub>
            <m:r>
              <m:rPr/>
              <m:t>7</m:t>
            </m:r>
          </m:sub>
        </m:sSub>
      </m:oMath>
      <w:r>
        <w:t xml:space="preserve"> to 0.18 and 0.03 mHa, and four active states recover </w:t>
      </w:r>
      <m:oMath>
        <m:sSub>
          <m:sSubPr/>
          <m:e>
            <m:r>
              <m:rPr/>
              <m:t>E</m:t>
            </m:r>
          </m:e>
          <m:sub>
            <m:r>
              <m:rPr/>
              <m:t>6</m:t>
            </m:r>
          </m:sub>
        </m:sSub>
      </m:oMath>
      <w:r>
        <w:t>–</w:t>
      </w:r>
      <m:oMath>
        <m:sSub>
          <m:sSubPr/>
          <m:e>
            <m:r>
              <m:rPr/>
              <m:t>E</m:t>
            </m:r>
          </m:e>
          <m:sub>
            <m:r>
              <m:rPr/>
              <m:t>9</m:t>
            </m:r>
          </m:sub>
        </m:sSub>
      </m:oMath>
      <w:r>
        <w:t xml:space="preserve"> to 0.53, 0.03, 0.07 and 0.34 mHa, again with the lowest of the new levels being the hardest. Six active states starting from </w:t>
      </w:r>
      <m:oMath>
        <m:sSub>
          <m:sSubPr/>
          <m:e>
            <m:r>
              <m:rPr/>
              <m:t>K</m:t>
            </m:r>
          </m:e>
          <m:sub>
            <m:r>
              <m:rPr/>
              <m:t>0</m:t>
            </m:r>
          </m:sub>
        </m:sSub>
        <m:r>
          <m:rPr>
            <m:sty m:val="p"/>
          </m:rPr>
          <m:t>=</m:t>
        </m:r>
        <m:r>
          <m:rPr/>
          <m:t>6</m:t>
        </m:r>
      </m:oMath>
      <w:r>
        <w:t xml:space="preserve"> are markedly worse (0.23–0.47 mHa for four of the six levels) even though the frozen manifold is larger: the active determinant is then twelve-dimensional and the sampled Gram matrices lose conditioning. This is consistent with the observation above and defines the practical operating point </w:t>
      </w:r>
      <m:oMath>
        <m:sSub>
          <m:sSubPr/>
          <m:e>
            <m:r>
              <m:rPr/>
              <m:t>K</m:t>
            </m:r>
          </m:e>
          <m:sub>
            <m:r>
              <m:rPr/>
              <m:t>a</m:t>
            </m:r>
          </m:sub>
        </m:sSub>
        <m:r>
          <m:rPr>
            <m:sty m:val="p"/>
          </m:rPr>
          <m:t>≤</m:t>
        </m:r>
        <m:r>
          <m:rPr/>
          <m:t>4</m:t>
        </m:r>
      </m:oMath>
      <w:r>
        <w:t xml:space="preserve"> for the present network family and sampler settings.</w:t>
      </w:r>
    </w:p>
    <w:p w14:paraId="7F4657CF">
      <w:pPr>
        <w:pStyle w:val="3"/>
      </w:pPr>
      <w:r>
        <w:t xml:space="preserve">A further point concerns the direct </w:t>
      </w:r>
      <m:oMath>
        <m:r>
          <m:rPr/>
          <m:t>K</m:t>
        </m:r>
        <m:r>
          <m:rPr>
            <m:sty m:val="p"/>
          </m:rPr>
          <m:t>=</m:t>
        </m:r>
        <m:r>
          <m:rPr/>
          <m:t>6</m:t>
        </m:r>
      </m:oMath>
      <w:r>
        <w:t xml:space="preserve"> run: it is not simply inaccurate, it is seed-dependent. With one initialisation it reaches 0.31 mHa in 500 steps, with another it stalls at 3.8 mHa after 1000 steps, and in both cases the stalled levels are the two members of the spin-degenerate pair. Frozen-subspace expansion removes this variance for the protected states by construction, because their parameters are never updated; the remaining variance is confined to the new columns.</w:t>
      </w:r>
    </w:p>
    <w:p w14:paraId="2D61E5AD">
      <w:pPr>
        <w:pStyle w:val="44"/>
      </w:pPr>
      <w:bookmarkStart w:id="11" w:name="tab:h2"/>
      <w:r>
        <w:rPr>
          <w:b/>
          <w:sz w:val="17"/>
        </w:rPr>
        <w:t xml:space="preserve">Table 1. </w:t>
      </w:r>
      <w:r>
        <w:rPr>
          <w:i w:val="0"/>
          <w:sz w:val="17"/>
        </w:rPr>
        <w:t>Energies of H</w:t>
      </w:r>
      <m:oMath>
        <m:sSub>
          <m:sSubPr/>
          <m:e>
            <m:r>
              <m:rPr/>
              <m:t>​</m:t>
            </m:r>
          </m:e>
          <m:sub>
            <m:r>
              <m:rPr/>
              <m:t>2</m:t>
            </m:r>
          </m:sub>
        </m:sSub>
      </m:oMath>
      <w:r>
        <w:rPr>
          <w:i w:val="0"/>
          <w:sz w:val="17"/>
        </w:rPr>
        <w:t>/6-31G relative to FCI (mHa); “init. a/b” marks two different seeds. Direct runs are judged by the per-step Ritz monitor, expansion runs by the weighted Gram estimator of Eq. (10).</w:t>
      </w:r>
    </w:p>
    <w:tbl>
      <w:tblPr>
        <w:tblStyle w:val="41"/>
        <w:tblW w:w="4816" w:type="dxa"/>
        <w:jc w:val="center"/>
        <w:tblCaption w:val="Energies of H_2/6-31G relative to FCI (mHa); “init. a/b” marks two different seeds. Direct runs are judged by the per-step Ritz monitor, expansion runs by the weighted Gram estimator of Eq. (10)."/>
        <w:tblLayout w:type="fixed"/>
        <w:tblCellMar>
          <w:top w:w="0" w:type="dxa"/>
          <w:left w:w="45" w:type="dxa"/>
          <w:bottom w:w="0" w:type="dxa"/>
          <w:right w:w="45" w:type="dxa"/>
        </w:tblCellMar>
      </w:tblPr>
      <w:tblGrid>
        <w:gridCol w:w="850"/>
        <w:gridCol w:w="1474"/>
        <w:gridCol w:w="680"/>
        <w:gridCol w:w="623"/>
        <w:gridCol w:w="566"/>
        <w:gridCol w:w="623"/>
      </w:tblGrid>
      <w:tr w14:paraId="649B91C1">
        <w:trPr>
          <w:tblHeader/>
          <w:jc w:val="center"/>
        </w:trPr>
        <w:tc>
          <w:tcPr>
            <w:tcW w:w="850" w:type="dxa"/>
            <w:tcBorders>
              <w:top w:val="single" w:color="000000" w:sz="8" w:space="0"/>
              <w:bottom w:val="single" w:color="000000" w:sz="6" w:space="0"/>
            </w:tcBorders>
          </w:tcPr>
          <w:p w14:paraId="500DD0B6">
            <w:pPr>
              <w:pStyle w:val="24"/>
              <w:spacing w:before="0" w:after="0"/>
              <w:ind w:firstLine="0"/>
              <w:jc w:val="center"/>
            </w:pPr>
            <w:r>
              <w:rPr>
                <w:b/>
                <w:bCs/>
                <w:sz w:val="16"/>
              </w:rPr>
              <w:t>Run</w:t>
            </w:r>
          </w:p>
        </w:tc>
        <w:tc>
          <w:tcPr>
            <w:tcW w:w="1474" w:type="dxa"/>
            <w:tcBorders>
              <w:top w:val="single" w:color="000000" w:sz="8" w:space="0"/>
              <w:bottom w:val="single" w:color="000000" w:sz="6" w:space="0"/>
            </w:tcBorders>
          </w:tcPr>
          <w:p w14:paraId="1F8BC436">
            <w:pPr>
              <w:pStyle w:val="24"/>
              <w:spacing w:before="0" w:after="0"/>
              <w:ind w:firstLine="0"/>
              <w:jc w:val="center"/>
            </w:pPr>
            <w:r>
              <w:rPr>
                <w:b/>
                <w:bCs/>
                <w:sz w:val="16"/>
              </w:rPr>
              <w:t>setting</w:t>
            </w:r>
          </w:p>
        </w:tc>
        <w:tc>
          <w:tcPr>
            <w:tcW w:w="680" w:type="dxa"/>
            <w:tcBorders>
              <w:top w:val="single" w:color="000000" w:sz="8" w:space="0"/>
              <w:bottom w:val="single" w:color="000000" w:sz="6" w:space="0"/>
            </w:tcBorders>
          </w:tcPr>
          <w:p w14:paraId="15780D62">
            <w:pPr>
              <w:pStyle w:val="24"/>
              <w:spacing w:before="0" w:after="0"/>
              <w:ind w:firstLine="0"/>
              <w:jc w:val="center"/>
            </w:pPr>
            <w:r>
              <w:rPr>
                <w:b/>
                <w:bCs/>
                <w:sz w:val="16"/>
              </w:rPr>
              <w:t>levels</w:t>
            </w:r>
          </w:p>
        </w:tc>
        <w:tc>
          <w:tcPr>
            <w:tcW w:w="623" w:type="dxa"/>
            <w:tcBorders>
              <w:top w:val="single" w:color="000000" w:sz="8" w:space="0"/>
              <w:bottom w:val="single" w:color="000000" w:sz="6" w:space="0"/>
            </w:tcBorders>
          </w:tcPr>
          <w:p w14:paraId="0B5ED99B">
            <w:pPr>
              <w:pStyle w:val="24"/>
              <w:spacing w:before="0" w:after="0"/>
              <w:ind w:firstLine="0"/>
              <w:jc w:val="center"/>
            </w:pPr>
            <w:r>
              <w:rPr>
                <w:b/>
                <w:bCs/>
                <w:sz w:val="16"/>
              </w:rPr>
              <w:t>steps</w:t>
            </w:r>
          </w:p>
        </w:tc>
        <w:tc>
          <w:tcPr>
            <w:tcW w:w="566" w:type="dxa"/>
            <w:tcBorders>
              <w:top w:val="single" w:color="000000" w:sz="8" w:space="0"/>
              <w:bottom w:val="single" w:color="000000" w:sz="6" w:space="0"/>
            </w:tcBorders>
          </w:tcPr>
          <w:p w14:paraId="27526C60">
            <w:pPr>
              <w:pStyle w:val="24"/>
              <w:spacing w:before="0" w:after="0"/>
              <w:ind w:firstLine="0"/>
              <w:jc w:val="center"/>
            </w:pPr>
            <w:r>
              <w:rPr>
                <w:b/>
                <w:bCs/>
                <w:sz w:val="16"/>
              </w:rPr>
              <w:t>time</w:t>
            </w:r>
          </w:p>
        </w:tc>
        <w:tc>
          <w:tcPr>
            <w:tcW w:w="623" w:type="dxa"/>
            <w:tcBorders>
              <w:top w:val="single" w:color="000000" w:sz="8" w:space="0"/>
              <w:bottom w:val="single" w:color="000000" w:sz="6" w:space="0"/>
            </w:tcBorders>
          </w:tcPr>
          <w:p w14:paraId="0657244F">
            <w:pPr>
              <w:pStyle w:val="24"/>
              <w:spacing w:before="0" w:after="0"/>
              <w:ind w:firstLine="0"/>
              <w:jc w:val="center"/>
            </w:pPr>
            <w:r>
              <w:rPr>
                <w:b/>
                <w:bCs/>
                <w:sz w:val="16"/>
              </w:rPr>
              <w:t>error</w:t>
            </w:r>
          </w:p>
        </w:tc>
      </w:tr>
      <w:tr w14:paraId="15E07037">
        <w:trPr>
          <w:jc w:val="center"/>
        </w:trPr>
        <w:tc>
          <w:tcPr>
            <w:tcW w:w="850" w:type="dxa"/>
          </w:tcPr>
          <w:p w14:paraId="1538724F">
            <w:pPr>
              <w:pStyle w:val="24"/>
              <w:spacing w:before="0" w:after="0"/>
              <w:ind w:firstLine="0"/>
              <w:jc w:val="center"/>
            </w:pPr>
            <w:r>
              <w:rPr>
                <w:sz w:val="16"/>
              </w:rPr>
              <w:t>direct</w:t>
            </w:r>
          </w:p>
        </w:tc>
        <w:tc>
          <w:tcPr>
            <w:tcW w:w="1474" w:type="dxa"/>
          </w:tcPr>
          <w:p w14:paraId="46854E94">
            <w:pPr>
              <w:pStyle w:val="24"/>
              <w:spacing w:before="0" w:after="0"/>
              <w:ind w:firstLine="0"/>
              <w:jc w:val="center"/>
            </w:pPr>
            <w:r>
              <w:rPr>
                <w:sz w:val="16"/>
              </w:rPr>
              <w:t>K=4, init. a</w:t>
            </w:r>
          </w:p>
        </w:tc>
        <w:tc>
          <w:tcPr>
            <w:tcW w:w="680" w:type="dxa"/>
          </w:tcPr>
          <w:p w14:paraId="105E104E">
            <w:pPr>
              <w:pStyle w:val="24"/>
              <w:spacing w:before="0" w:after="0"/>
              <w:ind w:firstLine="0"/>
              <w:jc w:val="center"/>
            </w:pPr>
            <w:r>
              <w:rPr>
                <w:sz w:val="16"/>
              </w:rPr>
              <w:t>0–3</w:t>
            </w:r>
          </w:p>
        </w:tc>
        <w:tc>
          <w:tcPr>
            <w:tcW w:w="623" w:type="dxa"/>
          </w:tcPr>
          <w:p w14:paraId="74222F7F">
            <w:pPr>
              <w:pStyle w:val="24"/>
              <w:spacing w:before="0" w:after="0"/>
              <w:ind w:firstLine="0"/>
              <w:jc w:val="center"/>
            </w:pPr>
            <w:r>
              <w:rPr>
                <w:sz w:val="16"/>
              </w:rPr>
              <w:t>300</w:t>
            </w:r>
          </w:p>
        </w:tc>
        <w:tc>
          <w:tcPr>
            <w:tcW w:w="566" w:type="dxa"/>
          </w:tcPr>
          <w:p w14:paraId="4BD60DD7">
            <w:pPr>
              <w:pStyle w:val="24"/>
              <w:spacing w:before="0" w:after="0"/>
              <w:ind w:firstLine="0"/>
              <w:jc w:val="center"/>
            </w:pPr>
            <w:r>
              <w:rPr>
                <w:sz w:val="16"/>
              </w:rPr>
              <w:t>3 min</w:t>
            </w:r>
          </w:p>
        </w:tc>
        <w:tc>
          <w:tcPr>
            <w:tcW w:w="623" w:type="dxa"/>
          </w:tcPr>
          <w:p w14:paraId="4BE39AF6">
            <w:pPr>
              <w:pStyle w:val="24"/>
              <w:spacing w:before="0" w:after="0"/>
              <w:ind w:firstLine="0"/>
              <w:jc w:val="center"/>
            </w:pPr>
            <w:r>
              <w:rPr>
                <w:sz w:val="16"/>
              </w:rPr>
              <w:t>0.18</w:t>
            </w:r>
          </w:p>
        </w:tc>
      </w:tr>
      <w:tr w14:paraId="7B94EE95">
        <w:trPr>
          <w:jc w:val="center"/>
        </w:trPr>
        <w:tc>
          <w:tcPr>
            <w:tcW w:w="850" w:type="dxa"/>
          </w:tcPr>
          <w:p w14:paraId="1DA1BCC9">
            <w:pPr>
              <w:pStyle w:val="24"/>
              <w:spacing w:before="0" w:after="0"/>
              <w:ind w:firstLine="0"/>
              <w:jc w:val="center"/>
            </w:pPr>
            <w:r>
              <w:rPr>
                <w:sz w:val="16"/>
              </w:rPr>
              <w:t>direct</w:t>
            </w:r>
          </w:p>
        </w:tc>
        <w:tc>
          <w:tcPr>
            <w:tcW w:w="1474" w:type="dxa"/>
          </w:tcPr>
          <w:p w14:paraId="52AA084B">
            <w:pPr>
              <w:pStyle w:val="24"/>
              <w:spacing w:before="0" w:after="0"/>
              <w:ind w:firstLine="0"/>
              <w:jc w:val="center"/>
            </w:pPr>
            <w:r>
              <w:rPr>
                <w:sz w:val="16"/>
              </w:rPr>
              <w:t>K=6, init. a</w:t>
            </w:r>
          </w:p>
        </w:tc>
        <w:tc>
          <w:tcPr>
            <w:tcW w:w="680" w:type="dxa"/>
          </w:tcPr>
          <w:p w14:paraId="2F89AE1D">
            <w:pPr>
              <w:pStyle w:val="24"/>
              <w:spacing w:before="0" w:after="0"/>
              <w:ind w:firstLine="0"/>
              <w:jc w:val="center"/>
            </w:pPr>
            <w:r>
              <w:rPr>
                <w:sz w:val="16"/>
              </w:rPr>
              <w:t>0–5</w:t>
            </w:r>
          </w:p>
        </w:tc>
        <w:tc>
          <w:tcPr>
            <w:tcW w:w="623" w:type="dxa"/>
          </w:tcPr>
          <w:p w14:paraId="4945819E">
            <w:pPr>
              <w:pStyle w:val="24"/>
              <w:spacing w:before="0" w:after="0"/>
              <w:ind w:firstLine="0"/>
              <w:jc w:val="center"/>
            </w:pPr>
            <w:r>
              <w:rPr>
                <w:sz w:val="16"/>
              </w:rPr>
              <w:t>1000</w:t>
            </w:r>
          </w:p>
        </w:tc>
        <w:tc>
          <w:tcPr>
            <w:tcW w:w="566" w:type="dxa"/>
          </w:tcPr>
          <w:p w14:paraId="0BD0C02A">
            <w:pPr>
              <w:pStyle w:val="24"/>
              <w:spacing w:before="0" w:after="0"/>
              <w:ind w:firstLine="0"/>
              <w:jc w:val="center"/>
            </w:pPr>
            <w:r>
              <w:rPr>
                <w:sz w:val="16"/>
              </w:rPr>
              <w:t>26 min</w:t>
            </w:r>
          </w:p>
        </w:tc>
        <w:tc>
          <w:tcPr>
            <w:tcW w:w="623" w:type="dxa"/>
          </w:tcPr>
          <w:p w14:paraId="73CA6C44">
            <w:pPr>
              <w:pStyle w:val="24"/>
              <w:spacing w:before="0" w:after="0"/>
              <w:ind w:firstLine="0"/>
              <w:jc w:val="center"/>
            </w:pPr>
            <w:r>
              <w:rPr>
                <w:sz w:val="16"/>
              </w:rPr>
              <w:t>3.81</w:t>
            </w:r>
          </w:p>
        </w:tc>
      </w:tr>
      <w:tr w14:paraId="036751E4">
        <w:trPr>
          <w:jc w:val="center"/>
        </w:trPr>
        <w:tc>
          <w:tcPr>
            <w:tcW w:w="850" w:type="dxa"/>
          </w:tcPr>
          <w:p w14:paraId="5B50D378">
            <w:pPr>
              <w:pStyle w:val="24"/>
              <w:spacing w:before="0" w:after="0"/>
              <w:ind w:firstLine="0"/>
              <w:jc w:val="center"/>
            </w:pPr>
            <w:r>
              <w:rPr>
                <w:sz w:val="16"/>
              </w:rPr>
              <w:t>direct</w:t>
            </w:r>
          </w:p>
        </w:tc>
        <w:tc>
          <w:tcPr>
            <w:tcW w:w="1474" w:type="dxa"/>
          </w:tcPr>
          <w:p w14:paraId="4C4C342C">
            <w:pPr>
              <w:pStyle w:val="24"/>
              <w:spacing w:before="0" w:after="0"/>
              <w:ind w:firstLine="0"/>
              <w:jc w:val="center"/>
            </w:pPr>
            <w:r>
              <w:rPr>
                <w:sz w:val="16"/>
              </w:rPr>
              <w:t>K=6, init. b</w:t>
            </w:r>
          </w:p>
        </w:tc>
        <w:tc>
          <w:tcPr>
            <w:tcW w:w="680" w:type="dxa"/>
          </w:tcPr>
          <w:p w14:paraId="5495B2A0">
            <w:pPr>
              <w:pStyle w:val="24"/>
              <w:spacing w:before="0" w:after="0"/>
              <w:ind w:firstLine="0"/>
              <w:jc w:val="center"/>
            </w:pPr>
            <w:r>
              <w:rPr>
                <w:sz w:val="16"/>
              </w:rPr>
              <w:t>0–5</w:t>
            </w:r>
          </w:p>
        </w:tc>
        <w:tc>
          <w:tcPr>
            <w:tcW w:w="623" w:type="dxa"/>
          </w:tcPr>
          <w:p w14:paraId="763F86A5">
            <w:pPr>
              <w:pStyle w:val="24"/>
              <w:spacing w:before="0" w:after="0"/>
              <w:ind w:firstLine="0"/>
              <w:jc w:val="center"/>
            </w:pPr>
            <w:r>
              <w:rPr>
                <w:sz w:val="16"/>
              </w:rPr>
              <w:t>500</w:t>
            </w:r>
          </w:p>
        </w:tc>
        <w:tc>
          <w:tcPr>
            <w:tcW w:w="566" w:type="dxa"/>
          </w:tcPr>
          <w:p w14:paraId="432D8CBC">
            <w:pPr>
              <w:pStyle w:val="24"/>
              <w:spacing w:before="0" w:after="0"/>
              <w:ind w:firstLine="0"/>
              <w:jc w:val="center"/>
            </w:pPr>
            <w:r>
              <w:rPr>
                <w:sz w:val="16"/>
              </w:rPr>
              <w:t>–</w:t>
            </w:r>
          </w:p>
        </w:tc>
        <w:tc>
          <w:tcPr>
            <w:tcW w:w="623" w:type="dxa"/>
          </w:tcPr>
          <w:p w14:paraId="0D6A971E">
            <w:pPr>
              <w:pStyle w:val="24"/>
              <w:spacing w:before="0" w:after="0"/>
              <w:ind w:firstLine="0"/>
              <w:jc w:val="center"/>
            </w:pPr>
            <w:r>
              <w:rPr>
                <w:sz w:val="16"/>
              </w:rPr>
              <w:t>0.31</w:t>
            </w:r>
          </w:p>
        </w:tc>
      </w:tr>
      <w:tr w14:paraId="7B72FB28">
        <w:trPr>
          <w:jc w:val="center"/>
        </w:trPr>
        <w:tc>
          <w:tcPr>
            <w:tcW w:w="850" w:type="dxa"/>
          </w:tcPr>
          <w:p w14:paraId="30EC0B88">
            <w:pPr>
              <w:pStyle w:val="24"/>
              <w:spacing w:before="0" w:after="0"/>
              <w:ind w:firstLine="0"/>
              <w:jc w:val="center"/>
            </w:pPr>
            <w:r>
              <w:rPr>
                <w:sz w:val="16"/>
              </w:rPr>
              <w:t>frozen</w:t>
            </w:r>
          </w:p>
        </w:tc>
        <w:tc>
          <w:tcPr>
            <w:tcW w:w="1474" w:type="dxa"/>
          </w:tcPr>
          <w:p w14:paraId="59CEC6B9">
            <w:pPr>
              <w:pStyle w:val="24"/>
              <w:spacing w:before="0" w:after="0"/>
              <w:ind w:firstLine="0"/>
              <w:jc w:val="center"/>
            </w:pPr>
            <w:r>
              <w:rPr>
                <w:sz w:val="16"/>
              </w:rPr>
              <w:t>K0=4, Ka=2</w:t>
            </w:r>
          </w:p>
        </w:tc>
        <w:tc>
          <w:tcPr>
            <w:tcW w:w="680" w:type="dxa"/>
          </w:tcPr>
          <w:p w14:paraId="56A07450">
            <w:pPr>
              <w:pStyle w:val="24"/>
              <w:spacing w:before="0" w:after="0"/>
              <w:ind w:firstLine="0"/>
              <w:jc w:val="center"/>
            </w:pPr>
            <w:r>
              <w:rPr>
                <w:sz w:val="16"/>
              </w:rPr>
              <w:t>4–5</w:t>
            </w:r>
          </w:p>
        </w:tc>
        <w:tc>
          <w:tcPr>
            <w:tcW w:w="623" w:type="dxa"/>
          </w:tcPr>
          <w:p w14:paraId="2F30F7BD">
            <w:pPr>
              <w:pStyle w:val="24"/>
              <w:spacing w:before="0" w:after="0"/>
              <w:ind w:firstLine="0"/>
              <w:jc w:val="center"/>
            </w:pPr>
            <w:r>
              <w:rPr>
                <w:sz w:val="16"/>
              </w:rPr>
              <w:t>500</w:t>
            </w:r>
          </w:p>
        </w:tc>
        <w:tc>
          <w:tcPr>
            <w:tcW w:w="566" w:type="dxa"/>
          </w:tcPr>
          <w:p w14:paraId="629F9B4C">
            <w:pPr>
              <w:pStyle w:val="24"/>
              <w:spacing w:before="0" w:after="0"/>
              <w:ind w:firstLine="0"/>
              <w:jc w:val="center"/>
            </w:pPr>
            <w:r>
              <w:rPr>
                <w:sz w:val="16"/>
              </w:rPr>
              <w:t>185 s</w:t>
            </w:r>
          </w:p>
        </w:tc>
        <w:tc>
          <w:tcPr>
            <w:tcW w:w="623" w:type="dxa"/>
          </w:tcPr>
          <w:p w14:paraId="42729669">
            <w:pPr>
              <w:pStyle w:val="24"/>
              <w:spacing w:before="0" w:after="0"/>
              <w:ind w:firstLine="0"/>
              <w:jc w:val="center"/>
            </w:pPr>
            <w:r>
              <w:rPr>
                <w:sz w:val="16"/>
              </w:rPr>
              <w:t>0.81</w:t>
            </w:r>
          </w:p>
        </w:tc>
      </w:tr>
      <w:tr w14:paraId="56D157B1">
        <w:trPr>
          <w:jc w:val="center"/>
        </w:trPr>
        <w:tc>
          <w:tcPr>
            <w:tcW w:w="850" w:type="dxa"/>
          </w:tcPr>
          <w:p w14:paraId="12C78273">
            <w:pPr>
              <w:pStyle w:val="24"/>
              <w:spacing w:before="0" w:after="0"/>
              <w:ind w:firstLine="0"/>
              <w:jc w:val="center"/>
            </w:pPr>
            <w:r>
              <w:rPr>
                <w:sz w:val="16"/>
              </w:rPr>
              <w:t>frozen</w:t>
            </w:r>
          </w:p>
        </w:tc>
        <w:tc>
          <w:tcPr>
            <w:tcW w:w="1474" w:type="dxa"/>
          </w:tcPr>
          <w:p w14:paraId="1E772756">
            <w:pPr>
              <w:pStyle w:val="24"/>
              <w:spacing w:before="0" w:after="0"/>
              <w:ind w:firstLine="0"/>
              <w:jc w:val="center"/>
            </w:pPr>
            <w:r>
              <w:rPr>
                <w:sz w:val="16"/>
              </w:rPr>
              <w:t>K0=4, Ka=4</w:t>
            </w:r>
          </w:p>
        </w:tc>
        <w:tc>
          <w:tcPr>
            <w:tcW w:w="680" w:type="dxa"/>
          </w:tcPr>
          <w:p w14:paraId="0B326BEB">
            <w:pPr>
              <w:pStyle w:val="24"/>
              <w:spacing w:before="0" w:after="0"/>
              <w:ind w:firstLine="0"/>
              <w:jc w:val="center"/>
            </w:pPr>
            <w:r>
              <w:rPr>
                <w:sz w:val="16"/>
              </w:rPr>
              <w:t>4–7</w:t>
            </w:r>
          </w:p>
        </w:tc>
        <w:tc>
          <w:tcPr>
            <w:tcW w:w="623" w:type="dxa"/>
          </w:tcPr>
          <w:p w14:paraId="5748DE5A">
            <w:pPr>
              <w:pStyle w:val="24"/>
              <w:spacing w:before="0" w:after="0"/>
              <w:ind w:firstLine="0"/>
              <w:jc w:val="center"/>
            </w:pPr>
            <w:r>
              <w:rPr>
                <w:sz w:val="16"/>
              </w:rPr>
              <w:t>500</w:t>
            </w:r>
          </w:p>
        </w:tc>
        <w:tc>
          <w:tcPr>
            <w:tcW w:w="566" w:type="dxa"/>
          </w:tcPr>
          <w:p w14:paraId="2F0838C6">
            <w:pPr>
              <w:pStyle w:val="24"/>
              <w:spacing w:before="0" w:after="0"/>
              <w:ind w:firstLine="0"/>
              <w:jc w:val="center"/>
            </w:pPr>
            <w:r>
              <w:rPr>
                <w:sz w:val="16"/>
              </w:rPr>
              <w:t>425 s</w:t>
            </w:r>
          </w:p>
        </w:tc>
        <w:tc>
          <w:tcPr>
            <w:tcW w:w="623" w:type="dxa"/>
          </w:tcPr>
          <w:p w14:paraId="04911BA5">
            <w:pPr>
              <w:pStyle w:val="24"/>
              <w:spacing w:before="0" w:after="0"/>
              <w:ind w:firstLine="0"/>
              <w:jc w:val="center"/>
            </w:pPr>
            <w:r>
              <w:rPr>
                <w:sz w:val="16"/>
              </w:rPr>
              <w:t>0.009</w:t>
            </w:r>
          </w:p>
        </w:tc>
      </w:tr>
      <w:tr w14:paraId="0E2BBC06">
        <w:trPr>
          <w:jc w:val="center"/>
        </w:trPr>
        <w:tc>
          <w:tcPr>
            <w:tcW w:w="850" w:type="dxa"/>
            <w:tcBorders>
              <w:bottom w:val="single" w:color="000000" w:sz="8" w:space="0"/>
            </w:tcBorders>
          </w:tcPr>
          <w:p w14:paraId="1311233B">
            <w:pPr>
              <w:pStyle w:val="24"/>
              <w:spacing w:before="0" w:after="0"/>
              <w:ind w:firstLine="0"/>
              <w:jc w:val="center"/>
            </w:pPr>
            <w:r>
              <w:rPr>
                <w:sz w:val="16"/>
              </w:rPr>
              <w:t>frozen</w:t>
            </w:r>
          </w:p>
        </w:tc>
        <w:tc>
          <w:tcPr>
            <w:tcW w:w="1474" w:type="dxa"/>
            <w:tcBorders>
              <w:bottom w:val="single" w:color="000000" w:sz="8" w:space="0"/>
            </w:tcBorders>
          </w:tcPr>
          <w:p w14:paraId="6240CD3A">
            <w:pPr>
              <w:pStyle w:val="24"/>
              <w:spacing w:before="0" w:after="0"/>
              <w:ind w:firstLine="0"/>
              <w:jc w:val="center"/>
            </w:pPr>
            <w:r>
              <w:rPr>
                <w:sz w:val="16"/>
              </w:rPr>
              <w:t>K0=4, Ka=6</w:t>
            </w:r>
          </w:p>
        </w:tc>
        <w:tc>
          <w:tcPr>
            <w:tcW w:w="680" w:type="dxa"/>
            <w:tcBorders>
              <w:bottom w:val="single" w:color="000000" w:sz="8" w:space="0"/>
            </w:tcBorders>
          </w:tcPr>
          <w:p w14:paraId="234FC542">
            <w:pPr>
              <w:pStyle w:val="24"/>
              <w:spacing w:before="0" w:after="0"/>
              <w:ind w:firstLine="0"/>
              <w:jc w:val="center"/>
            </w:pPr>
            <w:r>
              <w:rPr>
                <w:sz w:val="16"/>
              </w:rPr>
              <w:t>4–9</w:t>
            </w:r>
          </w:p>
        </w:tc>
        <w:tc>
          <w:tcPr>
            <w:tcW w:w="623" w:type="dxa"/>
            <w:tcBorders>
              <w:bottom w:val="single" w:color="000000" w:sz="8" w:space="0"/>
            </w:tcBorders>
          </w:tcPr>
          <w:p w14:paraId="35740A06">
            <w:pPr>
              <w:pStyle w:val="24"/>
              <w:spacing w:before="0" w:after="0"/>
              <w:ind w:firstLine="0"/>
              <w:jc w:val="center"/>
            </w:pPr>
            <w:r>
              <w:rPr>
                <w:sz w:val="16"/>
              </w:rPr>
              <w:t>500</w:t>
            </w:r>
          </w:p>
        </w:tc>
        <w:tc>
          <w:tcPr>
            <w:tcW w:w="566" w:type="dxa"/>
            <w:tcBorders>
              <w:bottom w:val="single" w:color="000000" w:sz="8" w:space="0"/>
            </w:tcBorders>
          </w:tcPr>
          <w:p w14:paraId="602B2E5E">
            <w:pPr>
              <w:pStyle w:val="24"/>
              <w:spacing w:before="0" w:after="0"/>
              <w:ind w:firstLine="0"/>
              <w:jc w:val="center"/>
            </w:pPr>
            <w:r>
              <w:rPr>
                <w:sz w:val="16"/>
              </w:rPr>
              <w:t>964 s</w:t>
            </w:r>
          </w:p>
        </w:tc>
        <w:tc>
          <w:tcPr>
            <w:tcW w:w="623" w:type="dxa"/>
            <w:tcBorders>
              <w:bottom w:val="single" w:color="000000" w:sz="8" w:space="0"/>
            </w:tcBorders>
          </w:tcPr>
          <w:p w14:paraId="6D4F172D">
            <w:pPr>
              <w:pStyle w:val="24"/>
              <w:spacing w:before="0" w:after="0"/>
              <w:ind w:firstLine="0"/>
              <w:jc w:val="center"/>
            </w:pPr>
            <w:r>
              <w:rPr>
                <w:sz w:val="16"/>
              </w:rPr>
              <w:t>1.38</w:t>
            </w:r>
          </w:p>
        </w:tc>
      </w:tr>
      <w:bookmarkEnd w:id="11"/>
    </w:tbl>
    <w:p w14:paraId="219DF5FF">
      <w:pPr>
        <w:pStyle w:val="47"/>
        <w:spacing w:before="120" w:after="0"/>
        <w:ind w:firstLine="0"/>
        <w:jc w:val="center"/>
      </w:pPr>
      <w:bookmarkStart w:id="12" w:name="fig:h2"/>
      <w:r>
        <w:drawing>
          <wp:inline distT="0" distB="0" distL="114300" distR="114300">
            <wp:extent cx="2735580" cy="2844800"/>
            <wp:effectExtent l="0" t="0" r="0" b="0"/>
            <wp:docPr id="3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pic:cNvPicPr>
                      <a:picLocks noChangeAspect="1" noChangeArrowheads="1"/>
                    </pic:cNvPicPr>
                  </pic:nvPicPr>
                  <pic:blipFill>
                    <a:blip r:embed="rId7"/>
                    <a:stretch>
                      <a:fillRect/>
                    </a:stretch>
                  </pic:blipFill>
                  <pic:spPr>
                    <a:xfrm>
                      <a:off x="0" y="0"/>
                      <a:ext cx="2736000" cy="2844884"/>
                    </a:xfrm>
                    <a:prstGeom prst="rect">
                      <a:avLst/>
                    </a:prstGeom>
                    <a:noFill/>
                    <a:ln w="9525">
                      <a:noFill/>
                    </a:ln>
                  </pic:spPr>
                </pic:pic>
              </a:graphicData>
            </a:graphic>
          </wp:inline>
        </w:drawing>
      </w:r>
    </w:p>
    <w:p w14:paraId="4C4E4E31">
      <w:pPr>
        <w:pStyle w:val="45"/>
      </w:pPr>
      <w:r>
        <w:rPr>
          <w:b/>
          <w:sz w:val="17"/>
        </w:rPr>
        <w:t xml:space="preserve">Figure 2. </w:t>
      </w:r>
      <w:r>
        <w:rPr>
          <w:i w:val="0"/>
          <w:sz w:val="17"/>
        </w:rPr>
        <w:t>Matrix-free expansion for H</w:t>
      </w:r>
      <m:oMath>
        <m:sSub>
          <m:sSubPr/>
          <m:e>
            <m:r>
              <m:rPr/>
              <m:t>​</m:t>
            </m:r>
          </m:e>
          <m:sub>
            <m:r>
              <m:rPr/>
              <m:t>2</m:t>
            </m:r>
          </m:sub>
        </m:sSub>
      </m:oMath>
      <w:r>
        <w:rPr>
          <w:i w:val="0"/>
          <w:sz w:val="17"/>
        </w:rPr>
        <w:t xml:space="preserve">/6-31G. (a) Running error of the Ritz monitor during the optimisation for a frozen </w:t>
      </w:r>
      <m:oMath>
        <m:sSub>
          <m:sSubPr/>
          <m:e>
            <m:r>
              <m:rPr/>
              <m:t>K</m:t>
            </m:r>
          </m:e>
          <m:sub>
            <m:r>
              <m:rPr/>
              <m:t>0</m:t>
            </m:r>
          </m:sub>
        </m:sSub>
        <m:r>
          <m:rPr>
            <m:sty m:val="p"/>
          </m:rPr>
          <m:t>=</m:t>
        </m:r>
        <m:r>
          <m:rPr/>
          <m:t>4</m:t>
        </m:r>
      </m:oMath>
      <w:r>
        <w:rPr>
          <w:i w:val="0"/>
          <w:sz w:val="17"/>
        </w:rPr>
        <w:t xml:space="preserve"> solution with </w:t>
      </w:r>
      <m:oMath>
        <m:sSub>
          <m:sSubPr/>
          <m:e>
            <m:r>
              <m:rPr/>
              <m:t>K</m:t>
            </m:r>
          </m:e>
          <m:sub>
            <m:r>
              <m:rPr/>
              <m:t>a</m:t>
            </m:r>
          </m:sub>
        </m:sSub>
        <m:r>
          <m:rPr>
            <m:sty m:val="p"/>
          </m:rPr>
          <m:t>=</m:t>
        </m:r>
        <m:r>
          <m:rPr/>
          <m:t>4</m:t>
        </m:r>
      </m:oMath>
      <w:r>
        <w:rPr>
          <w:i w:val="0"/>
          <w:sz w:val="17"/>
        </w:rPr>
        <w:t xml:space="preserve"> (solid) and </w:t>
      </w:r>
      <m:oMath>
        <m:sSub>
          <m:sSubPr/>
          <m:e>
            <m:r>
              <m:rPr/>
              <m:t>K</m:t>
            </m:r>
          </m:e>
          <m:sub>
            <m:r>
              <m:rPr/>
              <m:t>a</m:t>
            </m:r>
          </m:sub>
        </m:sSub>
        <m:r>
          <m:rPr>
            <m:sty m:val="p"/>
          </m:rPr>
          <m:t>=</m:t>
        </m:r>
        <m:r>
          <m:rPr/>
          <m:t>2</m:t>
        </m:r>
      </m:oMath>
      <w:r>
        <w:rPr>
          <w:i w:val="0"/>
          <w:sz w:val="17"/>
        </w:rPr>
        <w:t xml:space="preserve"> (dashed); curves are median filtered to suppress estimator noise. (b) Final errors of all incremental runs, evaluated with the weighted Gram estimator. </w:t>
      </w:r>
      <m:oMath>
        <m:sSub>
          <m:sSubPr/>
          <m:e>
            <m:r>
              <m:rPr/>
              <m:t>K</m:t>
            </m:r>
          </m:e>
          <m:sub>
            <m:r>
              <m:rPr/>
              <m:t>a</m:t>
            </m:r>
          </m:sub>
        </m:sSub>
        <m:r>
          <m:rPr>
            <m:sty m:val="p"/>
          </m:rPr>
          <m:t>=</m:t>
        </m:r>
        <m:r>
          <m:rPr/>
          <m:t>4</m:t>
        </m:r>
      </m:oMath>
      <w:r>
        <w:rPr>
          <w:i w:val="0"/>
          <w:sz w:val="17"/>
        </w:rPr>
        <w:t xml:space="preserve"> is uniformly accurate; small or large active blocks leave individual levels behind.</w:t>
      </w:r>
    </w:p>
    <w:bookmarkEnd w:id="10"/>
    <w:bookmarkEnd w:id="12"/>
    <w:p w14:paraId="41296DEB">
      <w:pPr>
        <w:pStyle w:val="4"/>
      </w:pPr>
      <w:bookmarkStart w:id="13" w:name="lihsto-3g"/>
      <w:r>
        <w:rPr>
          <w:b/>
        </w:rPr>
        <w:t xml:space="preserve">3.2  </w:t>
      </w:r>
      <w:r>
        <w:t>LiH/STO-3G</w:t>
      </w:r>
    </w:p>
    <w:p w14:paraId="73DD02AA">
      <w:pPr>
        <w:pStyle w:val="23"/>
      </w:pPr>
      <w:r>
        <w:t xml:space="preserve">The second benchmark is LiH in STO-3G, CAS(2e,4o), again eight spin orbitals (FCI dimension 36). Here the spectrum is dominated by two spin-degenerate pairs at 167.4 and 188.3 mHa above the ground state. The direct </w:t>
      </w:r>
      <m:oMath>
        <m:r>
          <m:rPr/>
          <m:t>K</m:t>
        </m:r>
        <m:r>
          <m:rPr>
            <m:sty m:val="p"/>
          </m:rPr>
          <m:t>=</m:t>
        </m:r>
        <m:r>
          <m:rPr/>
          <m:t>4</m:t>
        </m:r>
      </m:oMath>
      <w:r>
        <w:t xml:space="preserve"> solution reproduces the ground state and one member of each pair but ranks a spurious second state 2.6 mHa too high (Fig. 3); freezing its columns </w:t>
      </w:r>
      <m:oMath>
        <m:d>
          <m:dPr>
            <m:sepChr m:val=""/>
          </m:dPr>
          <m:e>
            <m:r>
              <m:rPr/>
              <m:t>0</m:t>
            </m:r>
            <m:r>
              <m:rPr>
                <m:sty m:val="p"/>
              </m:rPr>
              <m:t>,</m:t>
            </m:r>
            <m:r>
              <m:rPr/>
              <m:t>1</m:t>
            </m:r>
            <m:r>
              <m:rPr>
                <m:sty m:val="p"/>
              </m:rPr>
              <m:t>,</m:t>
            </m:r>
            <m:r>
              <m:rPr/>
              <m:t>3</m:t>
            </m:r>
          </m:e>
        </m:d>
      </m:oMath>
      <w:r>
        <w:t xml:space="preserve"> and optimising three new columns recovers the partners </w:t>
      </w:r>
      <m:oMath>
        <m:sSub>
          <m:sSubPr/>
          <m:e>
            <m:r>
              <m:rPr/>
              <m:t>E</m:t>
            </m:r>
          </m:e>
          <m:sub>
            <m:r>
              <m:rPr/>
              <m:t>2</m:t>
            </m:r>
          </m:sub>
        </m:sSub>
      </m:oMath>
      <w:r>
        <w:t xml:space="preserve">, </w:t>
      </w:r>
      <m:oMath>
        <m:sSub>
          <m:sSubPr/>
          <m:e>
            <m:r>
              <m:rPr/>
              <m:t>E</m:t>
            </m:r>
          </m:e>
          <m:sub>
            <m:r>
              <m:rPr/>
              <m:t>4</m:t>
            </m:r>
          </m:sub>
        </m:sSub>
      </m:oMath>
      <w:r>
        <w:t xml:space="preserve"> and the next level </w:t>
      </w:r>
      <m:oMath>
        <m:sSub>
          <m:sSubPr/>
          <m:e>
            <m:r>
              <m:rPr/>
              <m:t>E</m:t>
            </m:r>
          </m:e>
          <m:sub>
            <m:r>
              <m:rPr/>
              <m:t>5</m:t>
            </m:r>
          </m:sub>
        </m:sSub>
      </m:oMath>
      <w:r>
        <w:t xml:space="preserve"> to 0.0008, 0.0061 and 0.0003 mHa, in 500 steps and 282 s. The full </w:t>
      </w:r>
      <m:oMath>
        <m:r>
          <m:rPr/>
          <m:t>K</m:t>
        </m:r>
        <m:r>
          <m:rPr>
            <m:sty m:val="p"/>
          </m:rPr>
          <m:t>=</m:t>
        </m:r>
        <m:r>
          <m:rPr/>
          <m:t>6</m:t>
        </m:r>
      </m:oMath>
      <w:r>
        <w:t xml:space="preserve"> optimisation needs 15 min for the same number of steps and reaches 0.067 mHa (Table 2). The frozen columns were never touched during the expansion, so the already converged ground state stayed at 0.002 mHa.</w:t>
      </w:r>
    </w:p>
    <w:p w14:paraId="0194F408">
      <w:pPr>
        <w:pStyle w:val="44"/>
      </w:pPr>
      <w:bookmarkStart w:id="14" w:name="tab:lih"/>
      <w:r>
        <w:rPr>
          <w:b/>
          <w:sz w:val="17"/>
        </w:rPr>
        <w:t xml:space="preserve">Table 2. </w:t>
      </w:r>
      <w:r>
        <w:rPr>
          <w:i w:val="0"/>
          <w:sz w:val="17"/>
        </w:rPr>
        <w:t>LiH/STO-3G, CAS(2e,4o), eight spin orbitals. Errors in mHa relative to FCI; wall-clock times from the run logs of one workstation.</w:t>
      </w:r>
    </w:p>
    <w:tbl>
      <w:tblPr>
        <w:tblStyle w:val="41"/>
        <w:tblW w:w="4872" w:type="dxa"/>
        <w:jc w:val="center"/>
        <w:tblCaption w:val="LiH/STO-3G, CAS(2e,4o), eight spin orbitals. Errors in mHa relative to FCI; wall-clock times from the run logs of one workstation."/>
        <w:tblLayout w:type="fixed"/>
        <w:tblCellMar>
          <w:top w:w="0" w:type="dxa"/>
          <w:left w:w="45" w:type="dxa"/>
          <w:bottom w:w="0" w:type="dxa"/>
          <w:right w:w="45" w:type="dxa"/>
        </w:tblCellMar>
      </w:tblPr>
      <w:tblGrid>
        <w:gridCol w:w="850"/>
        <w:gridCol w:w="1530"/>
        <w:gridCol w:w="623"/>
        <w:gridCol w:w="623"/>
        <w:gridCol w:w="566"/>
        <w:gridCol w:w="680"/>
      </w:tblGrid>
      <w:tr w14:paraId="581C84ED">
        <w:trPr>
          <w:tblHeader/>
          <w:jc w:val="center"/>
        </w:trPr>
        <w:tc>
          <w:tcPr>
            <w:tcW w:w="850" w:type="dxa"/>
            <w:tcBorders>
              <w:top w:val="single" w:color="000000" w:sz="8" w:space="0"/>
              <w:bottom w:val="single" w:color="000000" w:sz="6" w:space="0"/>
            </w:tcBorders>
          </w:tcPr>
          <w:p w14:paraId="5CDF52F4">
            <w:pPr>
              <w:pStyle w:val="24"/>
              <w:spacing w:before="0" w:after="0"/>
              <w:ind w:firstLine="0"/>
              <w:jc w:val="center"/>
            </w:pPr>
            <w:r>
              <w:rPr>
                <w:b/>
                <w:bCs/>
                <w:sz w:val="16"/>
              </w:rPr>
              <w:t>Run</w:t>
            </w:r>
          </w:p>
        </w:tc>
        <w:tc>
          <w:tcPr>
            <w:tcW w:w="1530" w:type="dxa"/>
            <w:tcBorders>
              <w:top w:val="single" w:color="000000" w:sz="8" w:space="0"/>
              <w:bottom w:val="single" w:color="000000" w:sz="6" w:space="0"/>
            </w:tcBorders>
          </w:tcPr>
          <w:p w14:paraId="74BFE665">
            <w:pPr>
              <w:pStyle w:val="24"/>
              <w:spacing w:before="0" w:after="0"/>
              <w:ind w:firstLine="0"/>
              <w:jc w:val="center"/>
            </w:pPr>
            <w:r>
              <w:rPr>
                <w:b/>
                <w:bCs/>
                <w:sz w:val="16"/>
              </w:rPr>
              <w:t>setting</w:t>
            </w:r>
          </w:p>
        </w:tc>
        <w:tc>
          <w:tcPr>
            <w:tcW w:w="623" w:type="dxa"/>
            <w:tcBorders>
              <w:top w:val="single" w:color="000000" w:sz="8" w:space="0"/>
              <w:bottom w:val="single" w:color="000000" w:sz="6" w:space="0"/>
            </w:tcBorders>
          </w:tcPr>
          <w:p w14:paraId="22C904B0">
            <w:pPr>
              <w:pStyle w:val="24"/>
              <w:spacing w:before="0" w:after="0"/>
              <w:ind w:firstLine="0"/>
              <w:jc w:val="center"/>
            </w:pPr>
            <w:r>
              <w:rPr>
                <w:b/>
                <w:bCs/>
                <w:sz w:val="16"/>
              </w:rPr>
              <w:t>levels</w:t>
            </w:r>
          </w:p>
        </w:tc>
        <w:tc>
          <w:tcPr>
            <w:tcW w:w="623" w:type="dxa"/>
            <w:tcBorders>
              <w:top w:val="single" w:color="000000" w:sz="8" w:space="0"/>
              <w:bottom w:val="single" w:color="000000" w:sz="6" w:space="0"/>
            </w:tcBorders>
          </w:tcPr>
          <w:p w14:paraId="73A12022">
            <w:pPr>
              <w:pStyle w:val="24"/>
              <w:spacing w:before="0" w:after="0"/>
              <w:ind w:firstLine="0"/>
              <w:jc w:val="center"/>
            </w:pPr>
            <w:r>
              <w:rPr>
                <w:b/>
                <w:bCs/>
                <w:sz w:val="16"/>
              </w:rPr>
              <w:t>steps</w:t>
            </w:r>
          </w:p>
        </w:tc>
        <w:tc>
          <w:tcPr>
            <w:tcW w:w="566" w:type="dxa"/>
            <w:tcBorders>
              <w:top w:val="single" w:color="000000" w:sz="8" w:space="0"/>
              <w:bottom w:val="single" w:color="000000" w:sz="6" w:space="0"/>
            </w:tcBorders>
          </w:tcPr>
          <w:p w14:paraId="3743937A">
            <w:pPr>
              <w:pStyle w:val="24"/>
              <w:spacing w:before="0" w:after="0"/>
              <w:ind w:firstLine="0"/>
              <w:jc w:val="center"/>
            </w:pPr>
            <w:r>
              <w:rPr>
                <w:b/>
                <w:bCs/>
                <w:sz w:val="16"/>
              </w:rPr>
              <w:t>time</w:t>
            </w:r>
          </w:p>
        </w:tc>
        <w:tc>
          <w:tcPr>
            <w:tcW w:w="680" w:type="dxa"/>
            <w:tcBorders>
              <w:top w:val="single" w:color="000000" w:sz="8" w:space="0"/>
              <w:bottom w:val="single" w:color="000000" w:sz="6" w:space="0"/>
            </w:tcBorders>
          </w:tcPr>
          <w:p w14:paraId="18B3B440">
            <w:pPr>
              <w:pStyle w:val="24"/>
              <w:spacing w:before="0" w:after="0"/>
              <w:ind w:firstLine="0"/>
              <w:jc w:val="center"/>
            </w:pPr>
            <w:r>
              <w:rPr>
                <w:b/>
                <w:bCs/>
                <w:sz w:val="16"/>
              </w:rPr>
              <w:t>error</w:t>
            </w:r>
          </w:p>
        </w:tc>
      </w:tr>
      <w:tr w14:paraId="1ED0E88B">
        <w:trPr>
          <w:jc w:val="center"/>
        </w:trPr>
        <w:tc>
          <w:tcPr>
            <w:tcW w:w="850" w:type="dxa"/>
          </w:tcPr>
          <w:p w14:paraId="4BFA87C4">
            <w:pPr>
              <w:pStyle w:val="24"/>
              <w:spacing w:before="0" w:after="0"/>
              <w:ind w:firstLine="0"/>
              <w:jc w:val="center"/>
            </w:pPr>
            <w:r>
              <w:rPr>
                <w:sz w:val="16"/>
              </w:rPr>
              <w:t>direct</w:t>
            </w:r>
          </w:p>
        </w:tc>
        <w:tc>
          <w:tcPr>
            <w:tcW w:w="1530" w:type="dxa"/>
          </w:tcPr>
          <w:p w14:paraId="1AB054E7">
            <w:pPr>
              <w:pStyle w:val="24"/>
              <w:spacing w:before="0" w:after="0"/>
              <w:ind w:firstLine="0"/>
              <w:jc w:val="center"/>
            </w:pPr>
            <w:r>
              <w:rPr>
                <w:sz w:val="16"/>
              </w:rPr>
              <w:t>K=4</w:t>
            </w:r>
          </w:p>
        </w:tc>
        <w:tc>
          <w:tcPr>
            <w:tcW w:w="623" w:type="dxa"/>
          </w:tcPr>
          <w:p w14:paraId="68E3D3A1">
            <w:pPr>
              <w:pStyle w:val="24"/>
              <w:spacing w:before="0" w:after="0"/>
              <w:ind w:firstLine="0"/>
              <w:jc w:val="center"/>
            </w:pPr>
            <w:r>
              <w:rPr>
                <w:sz w:val="16"/>
              </w:rPr>
              <w:t>0–3</w:t>
            </w:r>
          </w:p>
        </w:tc>
        <w:tc>
          <w:tcPr>
            <w:tcW w:w="623" w:type="dxa"/>
          </w:tcPr>
          <w:p w14:paraId="156F48FF">
            <w:pPr>
              <w:pStyle w:val="24"/>
              <w:spacing w:before="0" w:after="0"/>
              <w:ind w:firstLine="0"/>
              <w:jc w:val="center"/>
            </w:pPr>
            <w:r>
              <w:rPr>
                <w:sz w:val="16"/>
              </w:rPr>
              <w:t>500</w:t>
            </w:r>
          </w:p>
        </w:tc>
        <w:tc>
          <w:tcPr>
            <w:tcW w:w="566" w:type="dxa"/>
          </w:tcPr>
          <w:p w14:paraId="47F7D1D4">
            <w:pPr>
              <w:pStyle w:val="24"/>
              <w:spacing w:before="0" w:after="0"/>
              <w:ind w:firstLine="0"/>
              <w:jc w:val="center"/>
            </w:pPr>
            <w:r>
              <w:rPr>
                <w:sz w:val="16"/>
              </w:rPr>
              <w:t>9 min</w:t>
            </w:r>
          </w:p>
        </w:tc>
        <w:tc>
          <w:tcPr>
            <w:tcW w:w="680" w:type="dxa"/>
          </w:tcPr>
          <w:p w14:paraId="71D7F737">
            <w:pPr>
              <w:pStyle w:val="24"/>
              <w:spacing w:before="0" w:after="0"/>
              <w:ind w:firstLine="0"/>
              <w:jc w:val="center"/>
            </w:pPr>
            <w:r>
              <w:rPr>
                <w:sz w:val="16"/>
              </w:rPr>
              <w:t>2.65</w:t>
            </w:r>
          </w:p>
        </w:tc>
      </w:tr>
      <w:tr w14:paraId="1AFD4FF5">
        <w:trPr>
          <w:jc w:val="center"/>
        </w:trPr>
        <w:tc>
          <w:tcPr>
            <w:tcW w:w="850" w:type="dxa"/>
          </w:tcPr>
          <w:p w14:paraId="7506038D">
            <w:pPr>
              <w:pStyle w:val="24"/>
              <w:spacing w:before="0" w:after="0"/>
              <w:ind w:firstLine="0"/>
              <w:jc w:val="center"/>
            </w:pPr>
            <w:r>
              <w:rPr>
                <w:sz w:val="16"/>
              </w:rPr>
              <w:t>direct</w:t>
            </w:r>
          </w:p>
        </w:tc>
        <w:tc>
          <w:tcPr>
            <w:tcW w:w="1530" w:type="dxa"/>
          </w:tcPr>
          <w:p w14:paraId="2DE8D231">
            <w:pPr>
              <w:pStyle w:val="24"/>
              <w:spacing w:before="0" w:after="0"/>
              <w:ind w:firstLine="0"/>
              <w:jc w:val="center"/>
            </w:pPr>
            <w:r>
              <w:rPr>
                <w:sz w:val="16"/>
              </w:rPr>
              <w:t>K=5</w:t>
            </w:r>
          </w:p>
        </w:tc>
        <w:tc>
          <w:tcPr>
            <w:tcW w:w="623" w:type="dxa"/>
          </w:tcPr>
          <w:p w14:paraId="4EC26B7E">
            <w:pPr>
              <w:pStyle w:val="24"/>
              <w:spacing w:before="0" w:after="0"/>
              <w:ind w:firstLine="0"/>
              <w:jc w:val="center"/>
            </w:pPr>
            <w:r>
              <w:rPr>
                <w:sz w:val="16"/>
              </w:rPr>
              <w:t>0–4</w:t>
            </w:r>
          </w:p>
        </w:tc>
        <w:tc>
          <w:tcPr>
            <w:tcW w:w="623" w:type="dxa"/>
          </w:tcPr>
          <w:p w14:paraId="78615AFA">
            <w:pPr>
              <w:pStyle w:val="24"/>
              <w:spacing w:before="0" w:after="0"/>
              <w:ind w:firstLine="0"/>
              <w:jc w:val="center"/>
            </w:pPr>
            <w:r>
              <w:rPr>
                <w:sz w:val="16"/>
              </w:rPr>
              <w:t>500</w:t>
            </w:r>
          </w:p>
        </w:tc>
        <w:tc>
          <w:tcPr>
            <w:tcW w:w="566" w:type="dxa"/>
          </w:tcPr>
          <w:p w14:paraId="3D492959">
            <w:pPr>
              <w:pStyle w:val="24"/>
              <w:spacing w:before="0" w:after="0"/>
              <w:ind w:firstLine="0"/>
              <w:jc w:val="center"/>
            </w:pPr>
            <w:r>
              <w:rPr>
                <w:sz w:val="16"/>
              </w:rPr>
              <w:t>9 min</w:t>
            </w:r>
          </w:p>
        </w:tc>
        <w:tc>
          <w:tcPr>
            <w:tcW w:w="680" w:type="dxa"/>
          </w:tcPr>
          <w:p w14:paraId="45BB9B7D">
            <w:pPr>
              <w:pStyle w:val="24"/>
              <w:spacing w:before="0" w:after="0"/>
              <w:ind w:firstLine="0"/>
              <w:jc w:val="center"/>
            </w:pPr>
            <w:r>
              <w:rPr>
                <w:sz w:val="16"/>
              </w:rPr>
              <w:t>0.024</w:t>
            </w:r>
          </w:p>
        </w:tc>
      </w:tr>
      <w:tr w14:paraId="1F7E9FBE">
        <w:trPr>
          <w:jc w:val="center"/>
        </w:trPr>
        <w:tc>
          <w:tcPr>
            <w:tcW w:w="850" w:type="dxa"/>
          </w:tcPr>
          <w:p w14:paraId="46F7971D">
            <w:pPr>
              <w:pStyle w:val="24"/>
              <w:spacing w:before="0" w:after="0"/>
              <w:ind w:firstLine="0"/>
              <w:jc w:val="center"/>
            </w:pPr>
            <w:r>
              <w:rPr>
                <w:sz w:val="16"/>
              </w:rPr>
              <w:t>direct</w:t>
            </w:r>
          </w:p>
        </w:tc>
        <w:tc>
          <w:tcPr>
            <w:tcW w:w="1530" w:type="dxa"/>
          </w:tcPr>
          <w:p w14:paraId="53EE71EC">
            <w:pPr>
              <w:pStyle w:val="24"/>
              <w:spacing w:before="0" w:after="0"/>
              <w:ind w:firstLine="0"/>
              <w:jc w:val="center"/>
            </w:pPr>
            <w:r>
              <w:rPr>
                <w:sz w:val="16"/>
              </w:rPr>
              <w:t>K=6</w:t>
            </w:r>
          </w:p>
        </w:tc>
        <w:tc>
          <w:tcPr>
            <w:tcW w:w="623" w:type="dxa"/>
          </w:tcPr>
          <w:p w14:paraId="4CE97A9C">
            <w:pPr>
              <w:pStyle w:val="24"/>
              <w:spacing w:before="0" w:after="0"/>
              <w:ind w:firstLine="0"/>
              <w:jc w:val="center"/>
            </w:pPr>
            <w:r>
              <w:rPr>
                <w:sz w:val="16"/>
              </w:rPr>
              <w:t>0–5</w:t>
            </w:r>
          </w:p>
        </w:tc>
        <w:tc>
          <w:tcPr>
            <w:tcW w:w="623" w:type="dxa"/>
          </w:tcPr>
          <w:p w14:paraId="04EDEF8E">
            <w:pPr>
              <w:pStyle w:val="24"/>
              <w:spacing w:before="0" w:after="0"/>
              <w:ind w:firstLine="0"/>
              <w:jc w:val="center"/>
            </w:pPr>
            <w:r>
              <w:rPr>
                <w:sz w:val="16"/>
              </w:rPr>
              <w:t>500</w:t>
            </w:r>
          </w:p>
        </w:tc>
        <w:tc>
          <w:tcPr>
            <w:tcW w:w="566" w:type="dxa"/>
          </w:tcPr>
          <w:p w14:paraId="70F3CEDC">
            <w:pPr>
              <w:pStyle w:val="24"/>
              <w:spacing w:before="0" w:after="0"/>
              <w:ind w:firstLine="0"/>
              <w:jc w:val="center"/>
            </w:pPr>
            <w:r>
              <w:rPr>
                <w:sz w:val="16"/>
              </w:rPr>
              <w:t>15 min</w:t>
            </w:r>
          </w:p>
        </w:tc>
        <w:tc>
          <w:tcPr>
            <w:tcW w:w="680" w:type="dxa"/>
          </w:tcPr>
          <w:p w14:paraId="21CE9720">
            <w:pPr>
              <w:pStyle w:val="24"/>
              <w:spacing w:before="0" w:after="0"/>
              <w:ind w:firstLine="0"/>
              <w:jc w:val="center"/>
            </w:pPr>
            <w:r>
              <w:rPr>
                <w:sz w:val="16"/>
              </w:rPr>
              <w:t>0.067</w:t>
            </w:r>
          </w:p>
        </w:tc>
      </w:tr>
      <w:tr w14:paraId="15EF9CE3">
        <w:trPr>
          <w:jc w:val="center"/>
        </w:trPr>
        <w:tc>
          <w:tcPr>
            <w:tcW w:w="850" w:type="dxa"/>
            <w:tcBorders>
              <w:bottom w:val="single" w:color="000000" w:sz="8" w:space="0"/>
            </w:tcBorders>
          </w:tcPr>
          <w:p w14:paraId="15043D30">
            <w:pPr>
              <w:pStyle w:val="24"/>
              <w:spacing w:before="0" w:after="0"/>
              <w:ind w:firstLine="0"/>
              <w:jc w:val="center"/>
            </w:pPr>
            <w:r>
              <w:rPr>
                <w:sz w:val="16"/>
              </w:rPr>
              <w:t>frozen</w:t>
            </w:r>
          </w:p>
        </w:tc>
        <w:tc>
          <w:tcPr>
            <w:tcW w:w="1530" w:type="dxa"/>
            <w:tcBorders>
              <w:bottom w:val="single" w:color="000000" w:sz="8" w:space="0"/>
            </w:tcBorders>
          </w:tcPr>
          <w:p w14:paraId="18584F24">
            <w:pPr>
              <w:pStyle w:val="24"/>
              <w:spacing w:before="0" w:after="0"/>
              <w:ind w:firstLine="0"/>
              <w:jc w:val="center"/>
            </w:pPr>
            <w:r>
              <w:rPr>
                <w:sz w:val="16"/>
              </w:rPr>
              <w:t>K0=4, Ka=3</w:t>
            </w:r>
          </w:p>
        </w:tc>
        <w:tc>
          <w:tcPr>
            <w:tcW w:w="623" w:type="dxa"/>
            <w:tcBorders>
              <w:bottom w:val="single" w:color="000000" w:sz="8" w:space="0"/>
            </w:tcBorders>
          </w:tcPr>
          <w:p w14:paraId="2A0F3B3D">
            <w:pPr>
              <w:pStyle w:val="24"/>
              <w:spacing w:before="0" w:after="0"/>
              <w:ind w:firstLine="0"/>
              <w:jc w:val="center"/>
            </w:pPr>
            <w:r>
              <w:rPr>
                <w:sz w:val="16"/>
              </w:rPr>
              <w:t>2,4,5</w:t>
            </w:r>
          </w:p>
        </w:tc>
        <w:tc>
          <w:tcPr>
            <w:tcW w:w="623" w:type="dxa"/>
            <w:tcBorders>
              <w:bottom w:val="single" w:color="000000" w:sz="8" w:space="0"/>
            </w:tcBorders>
          </w:tcPr>
          <w:p w14:paraId="63680D52">
            <w:pPr>
              <w:pStyle w:val="24"/>
              <w:spacing w:before="0" w:after="0"/>
              <w:ind w:firstLine="0"/>
              <w:jc w:val="center"/>
            </w:pPr>
            <w:r>
              <w:rPr>
                <w:sz w:val="16"/>
              </w:rPr>
              <w:t>500</w:t>
            </w:r>
          </w:p>
        </w:tc>
        <w:tc>
          <w:tcPr>
            <w:tcW w:w="566" w:type="dxa"/>
            <w:tcBorders>
              <w:bottom w:val="single" w:color="000000" w:sz="8" w:space="0"/>
            </w:tcBorders>
          </w:tcPr>
          <w:p w14:paraId="44514022">
            <w:pPr>
              <w:pStyle w:val="24"/>
              <w:spacing w:before="0" w:after="0"/>
              <w:ind w:firstLine="0"/>
              <w:jc w:val="center"/>
            </w:pPr>
            <w:r>
              <w:rPr>
                <w:sz w:val="16"/>
              </w:rPr>
              <w:t>282 s</w:t>
            </w:r>
          </w:p>
        </w:tc>
        <w:tc>
          <w:tcPr>
            <w:tcW w:w="680" w:type="dxa"/>
            <w:tcBorders>
              <w:bottom w:val="single" w:color="000000" w:sz="8" w:space="0"/>
            </w:tcBorders>
          </w:tcPr>
          <w:p w14:paraId="47D7BA12">
            <w:pPr>
              <w:pStyle w:val="24"/>
              <w:spacing w:before="0" w:after="0"/>
              <w:ind w:firstLine="0"/>
              <w:jc w:val="center"/>
            </w:pPr>
            <w:r>
              <w:rPr>
                <w:sz w:val="16"/>
              </w:rPr>
              <w:t>0.006</w:t>
            </w:r>
          </w:p>
        </w:tc>
      </w:tr>
      <w:bookmarkEnd w:id="14"/>
    </w:tbl>
    <w:p w14:paraId="1CF67DD1">
      <w:pPr>
        <w:pStyle w:val="47"/>
        <w:spacing w:before="120" w:after="0"/>
        <w:ind w:firstLine="0"/>
        <w:jc w:val="center"/>
      </w:pPr>
      <w:bookmarkStart w:id="15" w:name="fig:lih"/>
      <w:r>
        <w:drawing>
          <wp:inline distT="0" distB="0" distL="114300" distR="114300">
            <wp:extent cx="2735580" cy="1602740"/>
            <wp:effectExtent l="0" t="0" r="0" b="0"/>
            <wp:docPr id="4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pic:cNvPicPr>
                      <a:picLocks noChangeAspect="1" noChangeArrowheads="1"/>
                    </pic:cNvPicPr>
                  </pic:nvPicPr>
                  <pic:blipFill>
                    <a:blip r:embed="rId8"/>
                    <a:stretch>
                      <a:fillRect/>
                    </a:stretch>
                  </pic:blipFill>
                  <pic:spPr>
                    <a:xfrm>
                      <a:off x="0" y="0"/>
                      <a:ext cx="2736000" cy="1603143"/>
                    </a:xfrm>
                    <a:prstGeom prst="rect">
                      <a:avLst/>
                    </a:prstGeom>
                    <a:noFill/>
                    <a:ln w="9525">
                      <a:noFill/>
                    </a:ln>
                  </pic:spPr>
                </pic:pic>
              </a:graphicData>
            </a:graphic>
          </wp:inline>
        </w:drawing>
      </w:r>
    </w:p>
    <w:p w14:paraId="076919A9">
      <w:pPr>
        <w:pStyle w:val="45"/>
      </w:pPr>
      <w:r>
        <w:rPr>
          <w:b/>
          <w:sz w:val="17"/>
        </w:rPr>
        <w:t xml:space="preserve">Figure 3. </w:t>
      </w:r>
      <w:r>
        <w:rPr>
          <w:i w:val="0"/>
          <w:sz w:val="17"/>
        </w:rPr>
        <w:t xml:space="preserve">LiH/STO-3G level diagram. Grey bars: FCI multiplets (spin-degenerate partners are drawn with a small vertical offset). Filled circles: the four states of the direct </w:t>
      </w:r>
      <m:oMath>
        <m:sSub>
          <m:sSubPr/>
          <m:e>
            <m:r>
              <m:rPr/>
              <m:t>K</m:t>
            </m:r>
          </m:e>
          <m:sub>
            <m:r>
              <m:rPr/>
              <m:t>0</m:t>
            </m:r>
          </m:sub>
        </m:sSub>
        <m:r>
          <m:rPr>
            <m:sty m:val="p"/>
          </m:rPr>
          <m:t>=</m:t>
        </m:r>
        <m:r>
          <m:rPr/>
          <m:t>4</m:t>
        </m:r>
      </m:oMath>
      <w:r>
        <w:rPr>
          <w:i w:val="0"/>
          <w:sz w:val="17"/>
        </w:rPr>
        <w:t xml:space="preserve"> solution; one of them is a duplicate </w:t>
      </w:r>
      <m:oMath>
        <m:r>
          <m:rPr/>
          <m:t>2.6</m:t>
        </m:r>
      </m:oMath>
      <w:r>
        <w:rPr>
          <w:i w:val="0"/>
          <w:sz w:val="17"/>
        </w:rPr>
        <w:t> mHa above the pair. Diamonds: states recovered by three active columns, which restore both degenerate partners and the next level.</w:t>
      </w:r>
    </w:p>
    <w:bookmarkEnd w:id="13"/>
    <w:bookmarkEnd w:id="15"/>
    <w:p w14:paraId="7397B145">
      <w:pPr>
        <w:pStyle w:val="4"/>
      </w:pPr>
      <w:bookmarkStart w:id="16" w:name="diagnostics"/>
      <w:r>
        <w:rPr>
          <w:b/>
        </w:rPr>
        <w:t xml:space="preserve">3.3  </w:t>
      </w:r>
      <w:r>
        <w:t>Diagnostics</w:t>
      </w:r>
    </w:p>
    <w:p w14:paraId="78924573">
      <w:pPr>
        <w:pStyle w:val="23"/>
      </w:pPr>
      <w:r>
        <w:t>Four quantities are monitored during the run: the fraction of valid walkers (</w:t>
      </w:r>
      <m:oMath>
        <m:r>
          <m:rPr/>
          <m:t>1.00</m:t>
        </m:r>
      </m:oMath>
      <w:r>
        <w:t xml:space="preserve"> throughout), the effective sample size of the main sampler (typically </w:t>
      </w:r>
      <m:oMath>
        <m:r>
          <m:rPr/>
          <m:t>0.75</m:t>
        </m:r>
      </m:oMath>
      <w:r>
        <w:t>–</w:t>
      </w:r>
      <m:oMath>
        <m:r>
          <m:rPr/>
          <m:t>0.80</m:t>
        </m:r>
      </m:oMath>
      <w:r>
        <w:t xml:space="preserve"> of </w:t>
      </w:r>
      <m:oMath>
        <m:r>
          <m:rPr/>
          <m:t>3200</m:t>
        </m:r>
      </m:oMath>
      <w:r>
        <w:t xml:space="preserve"> walkers), the effective sample size of the auxiliary sampler (</w:t>
      </w:r>
      <m:oMath>
        <m:r>
          <m:rPr>
            <m:sty m:val="p"/>
          </m:rPr>
          <m:t>≈</m:t>
        </m:r>
        <m:r>
          <m:rPr/>
          <m:t>35</m:t>
        </m:r>
        <m:r>
          <m:rPr>
            <m:sty m:val="p"/>
          </m:rPr>
          <m:t>%</m:t>
        </m:r>
      </m:oMath>
      <w:r>
        <w:t xml:space="preserve"> of 1024 chains, the limiting cost of the method), and the condition number of the sampled Gram matrix (</w:t>
      </w:r>
      <m:oMath>
        <m:r>
          <m:rPr/>
          <m:t>κ</m:t>
        </m:r>
        <m:r>
          <m:rPr>
            <m:sty m:val="p"/>
          </m:rPr>
          <m:t>≈</m:t>
        </m:r>
        <m:r>
          <m:rPr/>
          <m:t>3</m:t>
        </m:r>
      </m:oMath>
      <w:r>
        <w:t>–</w:t>
      </w:r>
      <m:oMath>
        <m:r>
          <m:rPr/>
          <m:t>6</m:t>
        </m:r>
      </m:oMath>
      <w:r>
        <w:t xml:space="preserve"> for </w:t>
      </w:r>
      <m:oMath>
        <m:sSub>
          <m:sSubPr/>
          <m:e>
            <m:r>
              <m:rPr/>
              <m:t>K</m:t>
            </m:r>
          </m:e>
          <m:sub>
            <m:r>
              <m:rPr/>
              <m:t>a</m:t>
            </m:r>
          </m:sub>
        </m:sSub>
        <m:r>
          <m:rPr>
            <m:sty m:val="p"/>
          </m:rPr>
          <m:t>≤</m:t>
        </m:r>
        <m:r>
          <m:rPr/>
          <m:t>4</m:t>
        </m:r>
      </m:oMath>
      <w:r>
        <w:t xml:space="preserve">, growing quickly beyond). A growing </w:t>
      </w:r>
      <m:oMath>
        <m:r>
          <m:rPr/>
          <m:t>κ</m:t>
        </m:r>
      </m:oMath>
      <w:r>
        <w:t xml:space="preserve"> together with a stalled loss indicates genuine optimisation failure, whereas a stalled monitor with a healthy </w:t>
      </w:r>
      <m:oMath>
        <m:r>
          <m:rPr/>
          <m:t>κ</m:t>
        </m:r>
      </m:oMath>
      <w:r>
        <w:t xml:space="preserve"> is usually the estimator bias discussed in Section 2.4; the two must be separated before any conclusion about the frozen-subspace bias is drawn.</w:t>
      </w:r>
    </w:p>
    <w:bookmarkEnd w:id="16"/>
    <w:p w14:paraId="7C7AD21F">
      <w:pPr>
        <w:pStyle w:val="4"/>
      </w:pPr>
      <w:bookmarkStart w:id="17" w:name="Xe630493ad6d88fef22d2a2a9dfcf7ee42044173"/>
      <w:r>
        <w:rPr>
          <w:b/>
        </w:rPr>
        <w:t xml:space="preserve">3.4  </w:t>
      </w:r>
      <w:r>
        <w:t>Internal consistency of the implementation</w:t>
      </w:r>
    </w:p>
    <w:p w14:paraId="03E9F73A">
      <w:pPr>
        <w:pStyle w:val="23"/>
      </w:pPr>
      <w:r>
        <w:t>Table 3 collects the same quantities for all six H</w:t>
      </w:r>
      <m:oMath>
        <m:sSub>
          <m:sSubPr/>
          <m:e>
            <m:r>
              <m:rPr/>
              <m:t>​</m:t>
            </m:r>
          </m:e>
          <m:sub>
            <m:r>
              <m:rPr/>
              <m:t>2</m:t>
            </m:r>
          </m:sub>
        </m:sSub>
      </m:oMath>
      <w:r>
        <w:t xml:space="preserve"> expansions. The clipping counter counts the steps at which the stochastic-reconfiguration update had to be clipped: it is zero for the four-state and six-state parents with </w:t>
      </w:r>
      <m:oMath>
        <m:sSub>
          <m:sSubPr/>
          <m:e>
            <m:r>
              <m:rPr/>
              <m:t>K</m:t>
            </m:r>
          </m:e>
          <m:sub>
            <m:r>
              <m:rPr/>
              <m:t>a</m:t>
            </m:r>
          </m:sub>
        </m:sSub>
        <m:r>
          <m:rPr>
            <m:sty m:val="p"/>
          </m:rPr>
          <m:t>≤</m:t>
        </m:r>
        <m:r>
          <m:rPr/>
          <m:t>2</m:t>
        </m:r>
      </m:oMath>
      <w:r>
        <w:t xml:space="preserve">, three for </w:t>
      </w:r>
      <m:oMath>
        <m:sSub>
          <m:sSubPr/>
          <m:e>
            <m:r>
              <m:rPr/>
              <m:t>K</m:t>
            </m:r>
          </m:e>
          <m:sub>
            <m:r>
              <m:rPr/>
              <m:t>0</m:t>
            </m:r>
          </m:sub>
        </m:sSub>
        <m:r>
          <m:rPr>
            <m:sty m:val="p"/>
          </m:rPr>
          <m:t>=</m:t>
        </m:r>
        <m:r>
          <m:rPr/>
          <m:t>6</m:t>
        </m:r>
      </m:oMath>
      <w:r>
        <w:t xml:space="preserve"> with </w:t>
      </w:r>
      <m:oMath>
        <m:sSub>
          <m:sSubPr/>
          <m:e>
            <m:r>
              <m:rPr/>
              <m:t>K</m:t>
            </m:r>
          </m:e>
          <m:sub>
            <m:r>
              <m:rPr/>
              <m:t>a</m:t>
            </m:r>
          </m:sub>
        </m:sSub>
        <m:r>
          <m:rPr>
            <m:sty m:val="p"/>
          </m:rPr>
          <m:t>=</m:t>
        </m:r>
        <m:r>
          <m:rPr/>
          <m:t>4</m:t>
        </m:r>
      </m:oMath>
      <w:r>
        <w:t xml:space="preserve">, and thirty for </w:t>
      </w:r>
      <m:oMath>
        <m:sSub>
          <m:sSubPr/>
          <m:e>
            <m:r>
              <m:rPr/>
              <m:t>K</m:t>
            </m:r>
          </m:e>
          <m:sub>
            <m:r>
              <m:rPr/>
              <m:t>a</m:t>
            </m:r>
          </m:sub>
        </m:sSub>
        <m:r>
          <m:rPr>
            <m:sty m:val="p"/>
          </m:rPr>
          <m:t>=</m:t>
        </m:r>
        <m:r>
          <m:rPr/>
          <m:t>6</m:t>
        </m:r>
      </m:oMath>
      <w:r>
        <w:t xml:space="preserve">, which is the signature of an ill-conditioned active block rather than of a bad sampler. The final loss follows the same pattern. The last two columns compare the per-step Ritz monitor with the extraction of Eq. (10); the two are computed from different sample sets and different matrices, so their agreement is an internal consistency check of the whole chain – frozen columns, coefficients, weights and normalisation cancellation. For </w:t>
      </w:r>
      <m:oMath>
        <m:sSub>
          <m:sSubPr/>
          <m:e>
            <m:r>
              <m:rPr/>
              <m:t>K</m:t>
            </m:r>
          </m:e>
          <m:sub>
            <m:r>
              <m:rPr/>
              <m:t>a</m:t>
            </m:r>
          </m:sub>
        </m:sSub>
        <m:r>
          <m:rPr>
            <m:sty m:val="p"/>
          </m:rPr>
          <m:t>≤</m:t>
        </m:r>
        <m:r>
          <m:rPr/>
          <m:t>4</m:t>
        </m:r>
      </m:oMath>
      <w:r>
        <w:t xml:space="preserve"> the two agree within 0.34 mHa, which is the resolution of the monitor at that statistics; the disagreement above 1 mHa for </w:t>
      </w:r>
      <m:oMath>
        <m:sSub>
          <m:sSubPr/>
          <m:e>
            <m:r>
              <m:rPr/>
              <m:t>K</m:t>
            </m:r>
          </m:e>
          <m:sub>
            <m:r>
              <m:rPr/>
              <m:t>a</m:t>
            </m:r>
          </m:sub>
        </m:sSub>
        <m:r>
          <m:rPr>
            <m:sty m:val="p"/>
          </m:rPr>
          <m:t>=</m:t>
        </m:r>
        <m:r>
          <m:rPr/>
          <m:t>6</m:t>
        </m:r>
      </m:oMath>
      <w:r>
        <w:t xml:space="preserve"> is the same conditioning problem, and it is the reason why we report the extraction rather than the monitor as the final number.</w:t>
      </w:r>
    </w:p>
    <w:p w14:paraId="71D06271">
      <w:pPr>
        <w:pStyle w:val="44"/>
      </w:pPr>
      <w:bookmarkStart w:id="18" w:name="tab:diag"/>
      <w:r>
        <w:rPr>
          <w:b/>
          <w:sz w:val="17"/>
        </w:rPr>
        <w:t xml:space="preserve">Table 3. </w:t>
      </w:r>
      <w:r>
        <w:rPr>
          <w:i w:val="0"/>
          <w:sz w:val="17"/>
        </w:rPr>
        <w:t>H</w:t>
      </w:r>
      <m:oMath>
        <m:sSub>
          <m:sSubPr/>
          <m:e>
            <m:r>
              <m:rPr/>
              <m:t>​</m:t>
            </m:r>
          </m:e>
          <m:sub>
            <m:r>
              <m:rPr/>
              <m:t>2</m:t>
            </m:r>
          </m:sub>
        </m:sSub>
      </m:oMath>
      <w:r>
        <w:rPr>
          <w:i w:val="0"/>
          <w:sz w:val="17"/>
        </w:rPr>
        <w:t>/6-31G expansion runs: clipped updates, final loss, and the deviation between the per-step monitor and the extraction (mHa).</w:t>
      </w:r>
    </w:p>
    <w:tbl>
      <w:tblPr>
        <w:tblStyle w:val="41"/>
        <w:tblW w:w="4816" w:type="dxa"/>
        <w:jc w:val="center"/>
        <w:tblCaption w:val="H_2/6-31G expansion runs: clipped updates, final loss, and the deviation between the per-step monitor and the extraction (mHa)."/>
        <w:tblLayout w:type="fixed"/>
        <w:tblCellMar>
          <w:top w:w="0" w:type="dxa"/>
          <w:left w:w="45" w:type="dxa"/>
          <w:bottom w:w="0" w:type="dxa"/>
          <w:right w:w="45" w:type="dxa"/>
        </w:tblCellMar>
      </w:tblPr>
      <w:tblGrid>
        <w:gridCol w:w="737"/>
        <w:gridCol w:w="566"/>
        <w:gridCol w:w="566"/>
        <w:gridCol w:w="1020"/>
        <w:gridCol w:w="1247"/>
        <w:gridCol w:w="680"/>
      </w:tblGrid>
      <w:tr w14:paraId="4E2E709E">
        <w:trPr>
          <w:tblHeader/>
          <w:jc w:val="center"/>
        </w:trPr>
        <w:tc>
          <w:tcPr>
            <w:tcW w:w="737" w:type="dxa"/>
            <w:tcBorders>
              <w:top w:val="single" w:color="000000" w:sz="8" w:space="0"/>
              <w:bottom w:val="single" w:color="000000" w:sz="6" w:space="0"/>
            </w:tcBorders>
          </w:tcPr>
          <w:p w14:paraId="720489B8">
            <w:pPr>
              <w:pStyle w:val="24"/>
              <w:spacing w:before="0" w:after="0"/>
              <w:ind w:firstLine="0"/>
              <w:jc w:val="center"/>
            </w:pPr>
            <w:r>
              <w:rPr>
                <w:b/>
                <w:bCs/>
                <w:sz w:val="16"/>
              </w:rPr>
              <w:t>Run</w:t>
            </w:r>
          </w:p>
        </w:tc>
        <w:tc>
          <w:tcPr>
            <w:tcW w:w="566" w:type="dxa"/>
            <w:tcBorders>
              <w:top w:val="single" w:color="000000" w:sz="8" w:space="0"/>
              <w:bottom w:val="single" w:color="000000" w:sz="6" w:space="0"/>
            </w:tcBorders>
          </w:tcPr>
          <w:p w14:paraId="76437198">
            <w:pPr>
              <w:pStyle w:val="24"/>
              <w:spacing w:before="0" w:after="0"/>
              <w:ind w:firstLine="0"/>
              <w:jc w:val="center"/>
            </w:pPr>
            <w:r>
              <w:rPr>
                <w:b/>
                <w:bCs/>
                <w:sz w:val="16"/>
              </w:rPr>
              <w:t>Ka</w:t>
            </w:r>
          </w:p>
        </w:tc>
        <w:tc>
          <w:tcPr>
            <w:tcW w:w="566" w:type="dxa"/>
            <w:tcBorders>
              <w:top w:val="single" w:color="000000" w:sz="8" w:space="0"/>
              <w:bottom w:val="single" w:color="000000" w:sz="6" w:space="0"/>
            </w:tcBorders>
          </w:tcPr>
          <w:p w14:paraId="417E01F1">
            <w:pPr>
              <w:pStyle w:val="24"/>
              <w:spacing w:before="0" w:after="0"/>
              <w:ind w:firstLine="0"/>
              <w:jc w:val="center"/>
            </w:pPr>
            <w:r>
              <w:rPr>
                <w:b/>
                <w:bCs/>
                <w:sz w:val="16"/>
              </w:rPr>
              <w:t>clip</w:t>
            </w:r>
          </w:p>
        </w:tc>
        <w:tc>
          <w:tcPr>
            <w:tcW w:w="1020" w:type="dxa"/>
            <w:tcBorders>
              <w:top w:val="single" w:color="000000" w:sz="8" w:space="0"/>
              <w:bottom w:val="single" w:color="000000" w:sz="6" w:space="0"/>
            </w:tcBorders>
          </w:tcPr>
          <w:p w14:paraId="6DE36355">
            <w:pPr>
              <w:pStyle w:val="24"/>
              <w:spacing w:before="0" w:after="0"/>
              <w:ind w:firstLine="0"/>
              <w:jc w:val="center"/>
            </w:pPr>
            <w:r>
              <w:rPr>
                <w:b/>
                <w:bCs/>
                <w:sz w:val="16"/>
              </w:rPr>
              <w:t>loss</w:t>
            </w:r>
          </w:p>
        </w:tc>
        <w:tc>
          <w:tcPr>
            <w:tcW w:w="1247" w:type="dxa"/>
            <w:tcBorders>
              <w:top w:val="single" w:color="000000" w:sz="8" w:space="0"/>
              <w:bottom w:val="single" w:color="000000" w:sz="6" w:space="0"/>
            </w:tcBorders>
          </w:tcPr>
          <w:p w14:paraId="7D033A41">
            <w:pPr>
              <w:pStyle w:val="24"/>
              <w:spacing w:before="0" w:after="0"/>
              <w:ind w:firstLine="0"/>
              <w:jc w:val="center"/>
            </w:pPr>
            <w:r>
              <w:rPr>
                <w:b/>
                <w:bCs/>
                <w:sz w:val="16"/>
              </w:rPr>
              <w:t>mon.–ext.</w:t>
            </w:r>
          </w:p>
        </w:tc>
        <w:tc>
          <w:tcPr>
            <w:tcW w:w="680" w:type="dxa"/>
            <w:tcBorders>
              <w:top w:val="single" w:color="000000" w:sz="8" w:space="0"/>
              <w:bottom w:val="single" w:color="000000" w:sz="6" w:space="0"/>
            </w:tcBorders>
          </w:tcPr>
          <w:p w14:paraId="0CFD62A5">
            <w:pPr>
              <w:pStyle w:val="24"/>
              <w:spacing w:before="0" w:after="0"/>
              <w:ind w:firstLine="0"/>
              <w:jc w:val="center"/>
            </w:pPr>
            <w:r>
              <w:rPr>
                <w:b/>
                <w:bCs/>
                <w:sz w:val="16"/>
              </w:rPr>
              <w:t>time</w:t>
            </w:r>
          </w:p>
        </w:tc>
      </w:tr>
      <w:tr w14:paraId="1000CF58">
        <w:trPr>
          <w:jc w:val="center"/>
        </w:trPr>
        <w:tc>
          <w:tcPr>
            <w:tcW w:w="737" w:type="dxa"/>
          </w:tcPr>
          <w:p w14:paraId="7DB80390">
            <w:pPr>
              <w:pStyle w:val="24"/>
              <w:spacing w:before="0" w:after="0"/>
              <w:ind w:firstLine="0"/>
              <w:jc w:val="center"/>
            </w:pPr>
            <w:r>
              <w:rPr>
                <w:sz w:val="16"/>
              </w:rPr>
              <w:t>K0=4</w:t>
            </w:r>
          </w:p>
        </w:tc>
        <w:tc>
          <w:tcPr>
            <w:tcW w:w="566" w:type="dxa"/>
          </w:tcPr>
          <w:p w14:paraId="16C0D55A">
            <w:pPr>
              <w:pStyle w:val="24"/>
              <w:spacing w:before="0" w:after="0"/>
              <w:ind w:firstLine="0"/>
              <w:jc w:val="center"/>
            </w:pPr>
            <w:r>
              <w:rPr>
                <w:sz w:val="16"/>
              </w:rPr>
              <w:t>2</w:t>
            </w:r>
          </w:p>
        </w:tc>
        <w:tc>
          <w:tcPr>
            <w:tcW w:w="566" w:type="dxa"/>
          </w:tcPr>
          <w:p w14:paraId="3D4B2421">
            <w:pPr>
              <w:pStyle w:val="24"/>
              <w:spacing w:before="0" w:after="0"/>
              <w:ind w:firstLine="0"/>
              <w:jc w:val="center"/>
            </w:pPr>
            <w:r>
              <w:rPr>
                <w:sz w:val="16"/>
              </w:rPr>
              <w:t>0</w:t>
            </w:r>
          </w:p>
        </w:tc>
        <w:tc>
          <w:tcPr>
            <w:tcW w:w="1020" w:type="dxa"/>
          </w:tcPr>
          <w:p w14:paraId="07CF4683">
            <w:pPr>
              <w:pStyle w:val="24"/>
              <w:spacing w:before="0" w:after="0"/>
              <w:ind w:firstLine="0"/>
              <w:jc w:val="center"/>
            </w:pPr>
            <w:r>
              <w:rPr>
                <w:sz w:val="16"/>
              </w:rPr>
              <w:t>−0.042</w:t>
            </w:r>
          </w:p>
        </w:tc>
        <w:tc>
          <w:tcPr>
            <w:tcW w:w="1247" w:type="dxa"/>
          </w:tcPr>
          <w:p w14:paraId="34E2BDFC">
            <w:pPr>
              <w:pStyle w:val="24"/>
              <w:spacing w:before="0" w:after="0"/>
              <w:ind w:firstLine="0"/>
              <w:jc w:val="center"/>
            </w:pPr>
            <w:r>
              <w:rPr>
                <w:sz w:val="16"/>
              </w:rPr>
              <w:t>0.17</w:t>
            </w:r>
          </w:p>
        </w:tc>
        <w:tc>
          <w:tcPr>
            <w:tcW w:w="680" w:type="dxa"/>
          </w:tcPr>
          <w:p w14:paraId="3974A6A9">
            <w:pPr>
              <w:pStyle w:val="24"/>
              <w:spacing w:before="0" w:after="0"/>
              <w:ind w:firstLine="0"/>
              <w:jc w:val="center"/>
            </w:pPr>
            <w:r>
              <w:rPr>
                <w:sz w:val="16"/>
              </w:rPr>
              <w:t>185 s</w:t>
            </w:r>
          </w:p>
        </w:tc>
      </w:tr>
      <w:tr w14:paraId="5DBF9A30">
        <w:trPr>
          <w:jc w:val="center"/>
        </w:trPr>
        <w:tc>
          <w:tcPr>
            <w:tcW w:w="737" w:type="dxa"/>
          </w:tcPr>
          <w:p w14:paraId="7A09633D">
            <w:pPr>
              <w:pStyle w:val="24"/>
              <w:spacing w:before="0" w:after="0"/>
              <w:ind w:firstLine="0"/>
              <w:jc w:val="center"/>
            </w:pPr>
            <w:r>
              <w:rPr>
                <w:sz w:val="16"/>
              </w:rPr>
              <w:t>K0=4</w:t>
            </w:r>
          </w:p>
        </w:tc>
        <w:tc>
          <w:tcPr>
            <w:tcW w:w="566" w:type="dxa"/>
          </w:tcPr>
          <w:p w14:paraId="7CA76184">
            <w:pPr>
              <w:pStyle w:val="24"/>
              <w:spacing w:before="0" w:after="0"/>
              <w:ind w:firstLine="0"/>
              <w:jc w:val="center"/>
            </w:pPr>
            <w:r>
              <w:rPr>
                <w:sz w:val="16"/>
              </w:rPr>
              <w:t>4</w:t>
            </w:r>
          </w:p>
        </w:tc>
        <w:tc>
          <w:tcPr>
            <w:tcW w:w="566" w:type="dxa"/>
          </w:tcPr>
          <w:p w14:paraId="6305CE15">
            <w:pPr>
              <w:pStyle w:val="24"/>
              <w:spacing w:before="0" w:after="0"/>
              <w:ind w:firstLine="0"/>
              <w:jc w:val="center"/>
            </w:pPr>
            <w:r>
              <w:rPr>
                <w:sz w:val="16"/>
              </w:rPr>
              <w:t>0</w:t>
            </w:r>
          </w:p>
        </w:tc>
        <w:tc>
          <w:tcPr>
            <w:tcW w:w="1020" w:type="dxa"/>
          </w:tcPr>
          <w:p w14:paraId="519B68AF">
            <w:pPr>
              <w:pStyle w:val="24"/>
              <w:spacing w:before="0" w:after="0"/>
              <w:ind w:firstLine="0"/>
              <w:jc w:val="center"/>
            </w:pPr>
            <w:r>
              <w:rPr>
                <w:sz w:val="16"/>
              </w:rPr>
              <w:t>−0.024</w:t>
            </w:r>
          </w:p>
        </w:tc>
        <w:tc>
          <w:tcPr>
            <w:tcW w:w="1247" w:type="dxa"/>
          </w:tcPr>
          <w:p w14:paraId="15B0B36D">
            <w:pPr>
              <w:pStyle w:val="24"/>
              <w:spacing w:before="0" w:after="0"/>
              <w:ind w:firstLine="0"/>
              <w:jc w:val="center"/>
            </w:pPr>
            <w:r>
              <w:rPr>
                <w:sz w:val="16"/>
              </w:rPr>
              <w:t>0.09</w:t>
            </w:r>
          </w:p>
        </w:tc>
        <w:tc>
          <w:tcPr>
            <w:tcW w:w="680" w:type="dxa"/>
          </w:tcPr>
          <w:p w14:paraId="5160DE7D">
            <w:pPr>
              <w:pStyle w:val="24"/>
              <w:spacing w:before="0" w:after="0"/>
              <w:ind w:firstLine="0"/>
              <w:jc w:val="center"/>
            </w:pPr>
            <w:r>
              <w:rPr>
                <w:sz w:val="16"/>
              </w:rPr>
              <w:t>425 s</w:t>
            </w:r>
          </w:p>
        </w:tc>
      </w:tr>
      <w:tr w14:paraId="573D1BAC">
        <w:trPr>
          <w:jc w:val="center"/>
        </w:trPr>
        <w:tc>
          <w:tcPr>
            <w:tcW w:w="737" w:type="dxa"/>
          </w:tcPr>
          <w:p w14:paraId="603DD680">
            <w:pPr>
              <w:pStyle w:val="24"/>
              <w:spacing w:before="0" w:after="0"/>
              <w:ind w:firstLine="0"/>
              <w:jc w:val="center"/>
            </w:pPr>
            <w:r>
              <w:rPr>
                <w:sz w:val="16"/>
              </w:rPr>
              <w:t>K0=4</w:t>
            </w:r>
          </w:p>
        </w:tc>
        <w:tc>
          <w:tcPr>
            <w:tcW w:w="566" w:type="dxa"/>
          </w:tcPr>
          <w:p w14:paraId="64D5F022">
            <w:pPr>
              <w:pStyle w:val="24"/>
              <w:spacing w:before="0" w:after="0"/>
              <w:ind w:firstLine="0"/>
              <w:jc w:val="center"/>
            </w:pPr>
            <w:r>
              <w:rPr>
                <w:sz w:val="16"/>
              </w:rPr>
              <w:t>6</w:t>
            </w:r>
          </w:p>
        </w:tc>
        <w:tc>
          <w:tcPr>
            <w:tcW w:w="566" w:type="dxa"/>
          </w:tcPr>
          <w:p w14:paraId="204856FC">
            <w:pPr>
              <w:pStyle w:val="24"/>
              <w:spacing w:before="0" w:after="0"/>
              <w:ind w:firstLine="0"/>
              <w:jc w:val="center"/>
            </w:pPr>
            <w:r>
              <w:rPr>
                <w:sz w:val="16"/>
              </w:rPr>
              <w:t>0</w:t>
            </w:r>
          </w:p>
        </w:tc>
        <w:tc>
          <w:tcPr>
            <w:tcW w:w="1020" w:type="dxa"/>
          </w:tcPr>
          <w:p w14:paraId="48B1DABA">
            <w:pPr>
              <w:pStyle w:val="24"/>
              <w:spacing w:before="0" w:after="0"/>
              <w:ind w:firstLine="0"/>
              <w:jc w:val="center"/>
            </w:pPr>
            <w:r>
              <w:rPr>
                <w:sz w:val="16"/>
              </w:rPr>
              <w:t>0.468</w:t>
            </w:r>
          </w:p>
        </w:tc>
        <w:tc>
          <w:tcPr>
            <w:tcW w:w="1247" w:type="dxa"/>
          </w:tcPr>
          <w:p w14:paraId="2232B8FF">
            <w:pPr>
              <w:pStyle w:val="24"/>
              <w:spacing w:before="0" w:after="0"/>
              <w:ind w:firstLine="0"/>
              <w:jc w:val="center"/>
            </w:pPr>
            <w:r>
              <w:rPr>
                <w:sz w:val="16"/>
              </w:rPr>
              <w:t>1.27</w:t>
            </w:r>
          </w:p>
        </w:tc>
        <w:tc>
          <w:tcPr>
            <w:tcW w:w="680" w:type="dxa"/>
          </w:tcPr>
          <w:p w14:paraId="3BF535D6">
            <w:pPr>
              <w:pStyle w:val="24"/>
              <w:spacing w:before="0" w:after="0"/>
              <w:ind w:firstLine="0"/>
              <w:jc w:val="center"/>
            </w:pPr>
            <w:r>
              <w:rPr>
                <w:sz w:val="16"/>
              </w:rPr>
              <w:t>964 s</w:t>
            </w:r>
          </w:p>
        </w:tc>
      </w:tr>
      <w:tr w14:paraId="4BEEF66F">
        <w:trPr>
          <w:jc w:val="center"/>
        </w:trPr>
        <w:tc>
          <w:tcPr>
            <w:tcW w:w="737" w:type="dxa"/>
          </w:tcPr>
          <w:p w14:paraId="39FA42CF">
            <w:pPr>
              <w:pStyle w:val="24"/>
              <w:spacing w:before="0" w:after="0"/>
              <w:ind w:firstLine="0"/>
              <w:jc w:val="center"/>
            </w:pPr>
            <w:r>
              <w:rPr>
                <w:sz w:val="16"/>
              </w:rPr>
              <w:t>K0=6</w:t>
            </w:r>
          </w:p>
        </w:tc>
        <w:tc>
          <w:tcPr>
            <w:tcW w:w="566" w:type="dxa"/>
          </w:tcPr>
          <w:p w14:paraId="6B959061">
            <w:pPr>
              <w:pStyle w:val="24"/>
              <w:spacing w:before="0" w:after="0"/>
              <w:ind w:firstLine="0"/>
              <w:jc w:val="center"/>
            </w:pPr>
            <w:r>
              <w:rPr>
                <w:sz w:val="16"/>
              </w:rPr>
              <w:t>2</w:t>
            </w:r>
          </w:p>
        </w:tc>
        <w:tc>
          <w:tcPr>
            <w:tcW w:w="566" w:type="dxa"/>
          </w:tcPr>
          <w:p w14:paraId="3E4FCBF3">
            <w:pPr>
              <w:pStyle w:val="24"/>
              <w:spacing w:before="0" w:after="0"/>
              <w:ind w:firstLine="0"/>
              <w:jc w:val="center"/>
            </w:pPr>
            <w:r>
              <w:rPr>
                <w:sz w:val="16"/>
              </w:rPr>
              <w:t>0</w:t>
            </w:r>
          </w:p>
        </w:tc>
        <w:tc>
          <w:tcPr>
            <w:tcW w:w="1020" w:type="dxa"/>
          </w:tcPr>
          <w:p w14:paraId="0C9740DE">
            <w:pPr>
              <w:pStyle w:val="24"/>
              <w:spacing w:before="0" w:after="0"/>
              <w:ind w:firstLine="0"/>
              <w:jc w:val="center"/>
            </w:pPr>
            <w:r>
              <w:rPr>
                <w:sz w:val="16"/>
              </w:rPr>
              <w:t>0.019</w:t>
            </w:r>
          </w:p>
        </w:tc>
        <w:tc>
          <w:tcPr>
            <w:tcW w:w="1247" w:type="dxa"/>
          </w:tcPr>
          <w:p w14:paraId="751EED79">
            <w:pPr>
              <w:pStyle w:val="24"/>
              <w:spacing w:before="0" w:after="0"/>
              <w:ind w:firstLine="0"/>
              <w:jc w:val="center"/>
            </w:pPr>
            <w:r>
              <w:rPr>
                <w:sz w:val="16"/>
              </w:rPr>
              <w:t>0.03</w:t>
            </w:r>
          </w:p>
        </w:tc>
        <w:tc>
          <w:tcPr>
            <w:tcW w:w="680" w:type="dxa"/>
          </w:tcPr>
          <w:p w14:paraId="00DD2E8D">
            <w:pPr>
              <w:pStyle w:val="24"/>
              <w:spacing w:before="0" w:after="0"/>
              <w:ind w:firstLine="0"/>
              <w:jc w:val="center"/>
            </w:pPr>
            <w:r>
              <w:rPr>
                <w:sz w:val="16"/>
              </w:rPr>
              <w:t>233 s</w:t>
            </w:r>
          </w:p>
        </w:tc>
      </w:tr>
      <w:tr w14:paraId="00EB55D7">
        <w:trPr>
          <w:jc w:val="center"/>
        </w:trPr>
        <w:tc>
          <w:tcPr>
            <w:tcW w:w="737" w:type="dxa"/>
          </w:tcPr>
          <w:p w14:paraId="1A53254B">
            <w:pPr>
              <w:pStyle w:val="24"/>
              <w:spacing w:before="0" w:after="0"/>
              <w:ind w:firstLine="0"/>
              <w:jc w:val="center"/>
            </w:pPr>
            <w:r>
              <w:rPr>
                <w:sz w:val="16"/>
              </w:rPr>
              <w:t>K0=6</w:t>
            </w:r>
          </w:p>
        </w:tc>
        <w:tc>
          <w:tcPr>
            <w:tcW w:w="566" w:type="dxa"/>
          </w:tcPr>
          <w:p w14:paraId="08EECBE5">
            <w:pPr>
              <w:pStyle w:val="24"/>
              <w:spacing w:before="0" w:after="0"/>
              <w:ind w:firstLine="0"/>
              <w:jc w:val="center"/>
            </w:pPr>
            <w:r>
              <w:rPr>
                <w:sz w:val="16"/>
              </w:rPr>
              <w:t>4</w:t>
            </w:r>
          </w:p>
        </w:tc>
        <w:tc>
          <w:tcPr>
            <w:tcW w:w="566" w:type="dxa"/>
          </w:tcPr>
          <w:p w14:paraId="43CFB4DC">
            <w:pPr>
              <w:pStyle w:val="24"/>
              <w:spacing w:before="0" w:after="0"/>
              <w:ind w:firstLine="0"/>
              <w:jc w:val="center"/>
            </w:pPr>
            <w:r>
              <w:rPr>
                <w:sz w:val="16"/>
              </w:rPr>
              <w:t>3</w:t>
            </w:r>
          </w:p>
        </w:tc>
        <w:tc>
          <w:tcPr>
            <w:tcW w:w="1020" w:type="dxa"/>
          </w:tcPr>
          <w:p w14:paraId="2277423B">
            <w:pPr>
              <w:pStyle w:val="24"/>
              <w:spacing w:before="0" w:after="0"/>
              <w:ind w:firstLine="0"/>
              <w:jc w:val="center"/>
            </w:pPr>
            <w:r>
              <w:rPr>
                <w:sz w:val="16"/>
              </w:rPr>
              <w:t>0.510</w:t>
            </w:r>
          </w:p>
        </w:tc>
        <w:tc>
          <w:tcPr>
            <w:tcW w:w="1247" w:type="dxa"/>
          </w:tcPr>
          <w:p w14:paraId="12348D9C">
            <w:pPr>
              <w:pStyle w:val="24"/>
              <w:spacing w:before="0" w:after="0"/>
              <w:ind w:firstLine="0"/>
              <w:jc w:val="center"/>
            </w:pPr>
            <w:r>
              <w:rPr>
                <w:sz w:val="16"/>
              </w:rPr>
              <w:t>0.34</w:t>
            </w:r>
          </w:p>
        </w:tc>
        <w:tc>
          <w:tcPr>
            <w:tcW w:w="680" w:type="dxa"/>
          </w:tcPr>
          <w:p w14:paraId="7EDB6B9E">
            <w:pPr>
              <w:pStyle w:val="24"/>
              <w:spacing w:before="0" w:after="0"/>
              <w:ind w:firstLine="0"/>
              <w:jc w:val="center"/>
            </w:pPr>
            <w:r>
              <w:rPr>
                <w:sz w:val="16"/>
              </w:rPr>
              <w:t>539 s</w:t>
            </w:r>
          </w:p>
        </w:tc>
      </w:tr>
      <w:tr w14:paraId="3D672B5B">
        <w:trPr>
          <w:jc w:val="center"/>
        </w:trPr>
        <w:tc>
          <w:tcPr>
            <w:tcW w:w="737" w:type="dxa"/>
            <w:tcBorders>
              <w:bottom w:val="single" w:color="000000" w:sz="8" w:space="0"/>
            </w:tcBorders>
          </w:tcPr>
          <w:p w14:paraId="30BD7CCB">
            <w:pPr>
              <w:pStyle w:val="24"/>
              <w:spacing w:before="0" w:after="0"/>
              <w:ind w:firstLine="0"/>
              <w:jc w:val="center"/>
            </w:pPr>
            <w:r>
              <w:rPr>
                <w:sz w:val="16"/>
              </w:rPr>
              <w:t>K0=6</w:t>
            </w:r>
          </w:p>
        </w:tc>
        <w:tc>
          <w:tcPr>
            <w:tcW w:w="566" w:type="dxa"/>
            <w:tcBorders>
              <w:bottom w:val="single" w:color="000000" w:sz="8" w:space="0"/>
            </w:tcBorders>
          </w:tcPr>
          <w:p w14:paraId="2C66AE18">
            <w:pPr>
              <w:pStyle w:val="24"/>
              <w:spacing w:before="0" w:after="0"/>
              <w:ind w:firstLine="0"/>
              <w:jc w:val="center"/>
            </w:pPr>
            <w:r>
              <w:rPr>
                <w:sz w:val="16"/>
              </w:rPr>
              <w:t>6</w:t>
            </w:r>
          </w:p>
        </w:tc>
        <w:tc>
          <w:tcPr>
            <w:tcW w:w="566" w:type="dxa"/>
            <w:tcBorders>
              <w:bottom w:val="single" w:color="000000" w:sz="8" w:space="0"/>
            </w:tcBorders>
          </w:tcPr>
          <w:p w14:paraId="3E0D83FD">
            <w:pPr>
              <w:pStyle w:val="24"/>
              <w:spacing w:before="0" w:after="0"/>
              <w:ind w:firstLine="0"/>
              <w:jc w:val="center"/>
            </w:pPr>
            <w:r>
              <w:rPr>
                <w:sz w:val="16"/>
              </w:rPr>
              <w:t>30</w:t>
            </w:r>
          </w:p>
        </w:tc>
        <w:tc>
          <w:tcPr>
            <w:tcW w:w="1020" w:type="dxa"/>
            <w:tcBorders>
              <w:bottom w:val="single" w:color="000000" w:sz="8" w:space="0"/>
            </w:tcBorders>
          </w:tcPr>
          <w:p w14:paraId="35630932">
            <w:pPr>
              <w:pStyle w:val="24"/>
              <w:spacing w:before="0" w:after="0"/>
              <w:ind w:firstLine="0"/>
              <w:jc w:val="center"/>
            </w:pPr>
            <w:r>
              <w:rPr>
                <w:sz w:val="16"/>
              </w:rPr>
              <w:t>1.510</w:t>
            </w:r>
          </w:p>
        </w:tc>
        <w:tc>
          <w:tcPr>
            <w:tcW w:w="1247" w:type="dxa"/>
            <w:tcBorders>
              <w:bottom w:val="single" w:color="000000" w:sz="8" w:space="0"/>
            </w:tcBorders>
          </w:tcPr>
          <w:p w14:paraId="01B3A54A">
            <w:pPr>
              <w:pStyle w:val="24"/>
              <w:spacing w:before="0" w:after="0"/>
              <w:ind w:firstLine="0"/>
              <w:jc w:val="center"/>
            </w:pPr>
            <w:r>
              <w:rPr>
                <w:sz w:val="16"/>
              </w:rPr>
              <w:t>1.51</w:t>
            </w:r>
          </w:p>
        </w:tc>
        <w:tc>
          <w:tcPr>
            <w:tcW w:w="680" w:type="dxa"/>
            <w:tcBorders>
              <w:bottom w:val="single" w:color="000000" w:sz="8" w:space="0"/>
            </w:tcBorders>
          </w:tcPr>
          <w:p w14:paraId="733A7B63">
            <w:pPr>
              <w:pStyle w:val="24"/>
              <w:spacing w:before="0" w:after="0"/>
              <w:ind w:firstLine="0"/>
              <w:jc w:val="center"/>
            </w:pPr>
            <w:r>
              <w:rPr>
                <w:sz w:val="16"/>
              </w:rPr>
              <w:t>1302 s</w:t>
            </w:r>
          </w:p>
        </w:tc>
      </w:tr>
      <w:bookmarkEnd w:id="17"/>
      <w:bookmarkEnd w:id="18"/>
    </w:tbl>
    <w:p w14:paraId="5698ACA6">
      <w:pPr>
        <w:pStyle w:val="4"/>
      </w:pPr>
      <w:bookmarkStart w:id="19" w:name="implementation-and-reproducibility"/>
      <w:r>
        <w:rPr>
          <w:b/>
        </w:rPr>
        <w:t xml:space="preserve">3.5  </w:t>
      </w:r>
      <w:r>
        <w:t>Implementation and reproducibility</w:t>
      </w:r>
    </w:p>
    <w:p w14:paraId="0B34C641">
      <w:pPr>
        <w:pStyle w:val="23"/>
      </w:pPr>
      <w:r>
        <w:t xml:space="preserve">The implementation follows the matrix-free contract literally. Amplitudes are complex phase/amplitude networks evaluated with JAX under NetKet, and the Hamiltonian is applied through its connection list, so neither the state nor </w:t>
      </w:r>
      <m:oMath>
        <m:r>
          <m:rPr/>
          <m:t>H</m:t>
        </m:r>
      </m:oMath>
      <w:r>
        <w:t xml:space="preserve"> is ever assembled; a dense Hamiltonian and the FCI eigenvectors are computed separately, in a diagnostic script, and are used only to evaluate errors and to validate each matrix-free quantity against its exact counterpart on the 16- and 36-dimensional spaces. Each run writes three artefacts: a log with per-step diagnostics, a history file with the Ritz values and losses, and an extraction file with </w:t>
      </w:r>
      <m:oMath>
        <m:sSub>
          <m:sSubPr/>
          <m:e>
            <m:r>
              <m:rPr/>
              <m:t>λ</m:t>
            </m:r>
          </m:e>
          <m:sub>
            <m:r>
              <m:rPr/>
              <m:t>k</m:t>
            </m:r>
          </m:sub>
        </m:sSub>
      </m:oMath>
      <w:r>
        <w:t xml:space="preserve">, the rotation </w:t>
      </w:r>
      <m:oMath>
        <m:sSub>
          <m:sSubPr/>
          <m:e>
            <m:r>
              <m:rPr/>
              <m:t>v</m:t>
            </m:r>
          </m:e>
          <m:sub>
            <m:r>
              <m:rPr>
                <m:sty m:val="p"/>
              </m:rPr>
              <m:t>rot</m:t>
            </m:r>
          </m:sub>
        </m:sSub>
      </m:oMath>
      <w:r>
        <w:t xml:space="preserve">, the coefficient matrix </w:t>
      </w:r>
      <m:oMath>
        <m:r>
          <m:rPr/>
          <m:t>c</m:t>
        </m:r>
      </m:oMath>
      <w:r>
        <w:t>, the column scales and the elapsed time. The same initial seed (11) and hyperparameters are used throughout, so the differences in Table 1–3 reflect the block sizes and not the random stream. All timings quoted above are wall-clock times of the same single workstation, measured from the logs, and include the auxiliary sampling stage.</w:t>
      </w:r>
    </w:p>
    <w:p w14:paraId="4DE870E9">
      <w:pPr>
        <w:pStyle w:val="3"/>
      </w:pPr>
      <w:r>
        <w:t>This separation between production and diagnostic code is what makes the claims checkable: every quantity that the method uses in production is recomputed exactly for the small benchmarks, so an error in the Gram estimation, in the normalisation cancellation or in the projection would appear as a disagreement in Table 3 rather than as a slow drift of an energy.</w:t>
      </w:r>
    </w:p>
    <w:bookmarkEnd w:id="9"/>
    <w:bookmarkEnd w:id="19"/>
    <w:p w14:paraId="36D3355C">
      <w:pPr>
        <w:pStyle w:val="2"/>
      </w:pPr>
      <w:bookmarkStart w:id="20" w:name="discussion-and-limitations"/>
      <w:r>
        <w:rPr>
          <w:b/>
        </w:rPr>
        <w:t xml:space="preserve">4. </w:t>
      </w:r>
      <w:r>
        <w:t>Discussion and limitations</w:t>
      </w:r>
    </w:p>
    <w:p w14:paraId="3D6517C1">
      <w:pPr>
        <w:pStyle w:val="23"/>
      </w:pPr>
      <w:r>
        <w:t xml:space="preserve">The construction is dimension-free: the training loop touches only pointwise amplitudes, local connections and small </w:t>
      </w:r>
      <m:oMath>
        <m:sSub>
          <m:sSubPr/>
          <m:e>
            <m:r>
              <m:rPr/>
              <m:t>K</m:t>
            </m:r>
          </m:e>
          <m:sub>
            <m:r>
              <m:rPr/>
              <m:t>a</m:t>
            </m:r>
          </m:sub>
        </m:sSub>
        <m:r>
          <m:rPr>
            <m:sty m:val="p"/>
          </m:rPr>
          <m:t>×</m:t>
        </m:r>
        <m:sSub>
          <m:sSubPr/>
          <m:e>
            <m:r>
              <m:rPr/>
              <m:t>K</m:t>
            </m:r>
          </m:e>
          <m:sub>
            <m:r>
              <m:rPr/>
              <m:t>a</m:t>
            </m:r>
          </m:sub>
        </m:sSub>
      </m:oMath>
      <w:r>
        <w:t xml:space="preserve"> matrices, so its cost grows with the number of active states, not with the Hilbert-space size. Memory follows the same rule – the state is a set of network parameters, and the only matrices stored are the </w:t>
      </w:r>
      <m:oMath>
        <m:r>
          <m:rPr/>
          <m:t>r</m:t>
        </m:r>
        <m:r>
          <m:rPr>
            <m:sty m:val="p"/>
          </m:rPr>
          <m:t>×</m:t>
        </m:r>
        <m:r>
          <m:rPr/>
          <m:t>r</m:t>
        </m:r>
      </m:oMath>
      <w:r>
        <w:t xml:space="preserve">, </w:t>
      </w:r>
      <m:oMath>
        <m:r>
          <m:rPr/>
          <m:t>r</m:t>
        </m:r>
        <m:r>
          <m:rPr>
            <m:sty m:val="p"/>
          </m:rPr>
          <m:t>×</m:t>
        </m:r>
        <m:sSub>
          <m:sSubPr/>
          <m:e>
            <m:r>
              <m:rPr/>
              <m:t>K</m:t>
            </m:r>
          </m:e>
          <m:sub>
            <m:r>
              <m:rPr/>
              <m:t>a</m:t>
            </m:r>
          </m:sub>
        </m:sSub>
      </m:oMath>
      <w:r>
        <w:t xml:space="preserve"> and </w:t>
      </w:r>
      <m:oMath>
        <m:sSub>
          <m:sSubPr/>
          <m:e>
            <m:r>
              <m:rPr/>
              <m:t>K</m:t>
            </m:r>
          </m:e>
          <m:sub>
            <m:r>
              <m:rPr/>
              <m:t>a</m:t>
            </m:r>
          </m:sub>
        </m:sSub>
        <m:r>
          <m:rPr>
            <m:sty m:val="p"/>
          </m:rPr>
          <m:t>×</m:t>
        </m:r>
        <m:sSub>
          <m:sSubPr/>
          <m:e>
            <m:r>
              <m:rPr/>
              <m:t>K</m:t>
            </m:r>
          </m:e>
          <m:sub>
            <m:r>
              <m:rPr/>
              <m:t>a</m:t>
            </m:r>
          </m:sub>
        </m:sSub>
      </m:oMath>
      <w:r>
        <w:t xml:space="preserve"> Gram blocks and the coefficient matrix. For the present benchmarks this is a few megabytes, independent of the 16- or 36-dimensional FCI space; the point is that the same statement remains true when the active space grows to the point where a dense object would not fit in memory at all.</w:t>
      </w:r>
    </w:p>
    <w:p w14:paraId="0F8A36A2">
      <w:pPr>
        <w:pStyle w:val="3"/>
      </w:pPr>
      <w:r>
        <w:t xml:space="preserve">Three limitations remain. First, the frozen states are approximate eigenstates, so the projected problem carries an intrinsic bias of the order of the frozen residual; an oracle diagonalisation of </w:t>
      </w:r>
      <m:oMath>
        <m:r>
          <m:rPr/>
          <m:t>QHQ</m:t>
        </m:r>
      </m:oMath>
      <w:r>
        <w:t xml:space="preserve"> separates this bias from optimisation error and shows that the current 0.009 mHa level is dominated by the expressivity of the active networks rather than by projection. This also means that the method cannot be made arbitrarily accurate by adding states: a poorly converged frozen manifold limits what the complement can contain. Second, the auxiliary sampler is the bottleneck. Its effective sample size, not the gradient step, sets the wall-clock cost, and because the distribution has to cover both the frozen and the active support its efficiency degrades as the active columns grow. Third, the active block is fragile for </w:t>
      </w:r>
      <m:oMath>
        <m:sSub>
          <m:sSubPr/>
          <m:e>
            <m:r>
              <m:rPr/>
              <m:t>K</m:t>
            </m:r>
          </m:e>
          <m:sub>
            <m:r>
              <m:rPr/>
              <m:t>a</m:t>
            </m:r>
          </m:sub>
        </m:sSub>
        <m:r>
          <m:rPr>
            <m:sty m:val="p"/>
          </m:rPr>
          <m:t>≥</m:t>
        </m:r>
        <m:r>
          <m:rPr/>
          <m:t>6</m:t>
        </m:r>
      </m:oMath>
      <w:r>
        <w:t xml:space="preserve">: near-linear dependence inflates the condition number, the pseudo-inverse truncates legitimate directions, and individual levels are left behind (1.05 and 1.38 mHa in Table 1). A preconditioner, or an adaptive rule for </w:t>
      </w:r>
      <m:oMath>
        <m:sSub>
          <m:sSubPr/>
          <m:e>
            <m:r>
              <m:rPr/>
              <m:t>K</m:t>
            </m:r>
          </m:e>
          <m:sub>
            <m:r>
              <m:rPr/>
              <m:t>a</m:t>
            </m:r>
          </m:sub>
        </m:sSub>
      </m:oMath>
      <w:r>
        <w:t>, is needed for larger expansions.</w:t>
      </w:r>
    </w:p>
    <w:p w14:paraId="551A6E2B">
      <w:pPr>
        <w:pStyle w:val="3"/>
      </w:pPr>
      <w:r>
        <w:t xml:space="preserve">Compared with penalty and variance-based excited-state functionals, the approach does not require tuning a penalty weight, and it yields several states per run with a single hyperparameter set. Compared with a full </w:t>
      </w:r>
      <m:oMath>
        <m:r>
          <m:rPr/>
          <m:t>K</m:t>
        </m:r>
      </m:oMath>
      <w:r>
        <w:t>-state optimisation, it trades a small amount of bookkeeping – one auxiliary sampler and one Gram solve – for the guarantee that converged states are not revisited. The price is that the frozen manifold is fixed: improving a frozen state requires a new expansion cycle from a better parent calculation.</w:t>
      </w:r>
    </w:p>
    <w:bookmarkEnd w:id="20"/>
    <w:p w14:paraId="65353941">
      <w:pPr>
        <w:pStyle w:val="2"/>
      </w:pPr>
      <w:bookmarkStart w:id="21" w:name="conclusion"/>
      <w:r>
        <w:rPr>
          <w:b/>
        </w:rPr>
        <w:t xml:space="preserve">5. </w:t>
      </w:r>
      <w:r>
        <w:t>Conclusion</w:t>
      </w:r>
    </w:p>
    <w:p w14:paraId="7699EBE8">
      <w:pPr>
        <w:pStyle w:val="23"/>
      </w:pPr>
      <w:r>
        <w:t>Frozen-subspace recycling turns excited-state NES-VMC from a joint re-optimisation into an incremental one. Frozen states are reused as pointwise functions, projection coefficients come from Monte Carlo Gram matrices with exact normalisation cancellation, the determinant enforces the projection implicitly, and the weighted Gram eigenvalue problem supplies the physical energies. On H</w:t>
      </w:r>
      <m:oMath>
        <m:sSub>
          <m:sSubPr/>
          <m:e>
            <m:r>
              <m:rPr/>
              <m:t>​</m:t>
            </m:r>
          </m:e>
          <m:sub>
            <m:r>
              <m:rPr/>
              <m:t>2</m:t>
            </m:r>
          </m:sub>
        </m:sSub>
      </m:oMath>
      <w:r>
        <w:t xml:space="preserve">/6-31G four frozen states plus four active states reach </w:t>
      </w:r>
      <m:oMath>
        <m:r>
          <m:rPr/>
          <m:t>0.009</m:t>
        </m:r>
      </m:oMath>
      <w:r>
        <w:t xml:space="preserve"> mHa for </w:t>
      </w:r>
      <m:oMath>
        <m:sSub>
          <m:sSubPr/>
          <m:e>
            <m:r>
              <m:rPr/>
              <m:t>E</m:t>
            </m:r>
          </m:e>
          <m:sub>
            <m:r>
              <m:rPr/>
              <m:t>4</m:t>
            </m:r>
          </m:sub>
        </m:sSub>
      </m:oMath>
      <w:r>
        <w:t>–</w:t>
      </w:r>
      <m:oMath>
        <m:sSub>
          <m:sSubPr/>
          <m:e>
            <m:r>
              <m:rPr/>
              <m:t>E</m:t>
            </m:r>
          </m:e>
          <m:sub>
            <m:r>
              <m:rPr/>
              <m:t>7</m:t>
            </m:r>
          </m:sub>
        </m:sSub>
      </m:oMath>
      <w:r>
        <w:t xml:space="preserve"> in 425 s, and on LiH/STO-3G three active states recover the degenerate partners missed by the direct calculation at </w:t>
      </w:r>
      <m:oMath>
        <m:r>
          <m:rPr/>
          <m:t>0.006</m:t>
        </m:r>
      </m:oMath>
      <w:r>
        <w:t xml:space="preserve"> mHa. No </w:t>
      </w:r>
      <m:oMath>
        <m:sSup>
          <m:sSupPr/>
          <m:e>
            <m:r>
              <m:rPr/>
              <m:t>2</m:t>
            </m:r>
          </m:e>
          <m:sup>
            <m:r>
              <m:rPr/>
              <m:t>N</m:t>
            </m:r>
          </m:sup>
        </m:sSup>
      </m:oMath>
      <w:r>
        <w:t xml:space="preserve"> vector, dense Hamiltonian or explicit projector is constructed at any stage.</w:t>
      </w:r>
    </w:p>
    <w:p w14:paraId="1199C822">
      <w:pPr>
        <w:pStyle w:val="3"/>
      </w:pPr>
      <w:r>
        <w:t>Two aspects seem to me the essential outcome of this period. The first is conceptual: deflation, a purely vector-space operation in conventional eigensolvers, survives the transition to neural quantum states once the inner products are recognised as Monte Carlo expectations on an auxiliary distribution and the unknown normalisations are allowed to cancel. The second is practical: the incremental strategy is not merely cheaper than a joint optimisation, it is also more stable, because the states that a determinant of nearly dependent columns cannot hold are protected by construction once they are frozen. Both statements are supported here by controlled benchmarks where the exact answer is known; the open question is whether they survive at the system sizes where the matrix-free formulation is not just convenient but necessary.</w:t>
      </w:r>
    </w:p>
    <w:bookmarkEnd w:id="21"/>
    <w:p w14:paraId="35A3736C">
      <w:pPr>
        <w:pStyle w:val="2"/>
      </w:pPr>
      <w:bookmarkStart w:id="22" w:name="research-plan-after-enrolment"/>
      <w:r>
        <w:rPr>
          <w:b/>
        </w:rPr>
        <w:t xml:space="preserve">6. </w:t>
      </w:r>
      <w:r>
        <w:t>Research plan after enrolment</w:t>
      </w:r>
    </w:p>
    <w:p w14:paraId="63303679">
      <w:pPr>
        <w:pStyle w:val="23"/>
      </w:pPr>
      <w:r>
        <w:t>The next step is to move from benchmark molecules to a systematically improvable excited-state workflow. (i) Extend the benchmarks to LiH/cc-pVDZ, H</w:t>
      </w:r>
      <m:oMath>
        <m:sSub>
          <m:sSubPr/>
          <m:e>
            <m:r>
              <m:rPr/>
              <m:t>​</m:t>
            </m:r>
          </m:e>
          <m:sub>
            <m:r>
              <m:rPr/>
              <m:t>2</m:t>
            </m:r>
          </m:sub>
        </m:sSub>
      </m:oMath>
      <w:r>
        <w:t>O and N</w:t>
      </w:r>
      <m:oMath>
        <m:sSub>
          <m:sSubPr/>
          <m:e>
            <m:r>
              <m:rPr/>
              <m:t>​</m:t>
            </m:r>
          </m:e>
          <m:sub>
            <m:r>
              <m:rPr/>
              <m:t>2</m:t>
            </m:r>
          </m:sub>
        </m:sSub>
      </m:oMath>
      <w:r>
        <w:t xml:space="preserve"> in active spaces of 12–20 spin orbitals, where the exponential cost of any dense object becomes prohibitive and the matrix-free property can be demonstrated rather than asserted; the first target is LiH with a 12-orbital active space, for which a direct </w:t>
      </w:r>
      <m:oMath>
        <m:r>
          <m:rPr/>
          <m:t>K</m:t>
        </m:r>
        <m:r>
          <m:rPr>
            <m:sty m:val="p"/>
          </m:rPr>
          <m:t>=</m:t>
        </m:r>
        <m:r>
          <m:rPr/>
          <m:t>6</m:t>
        </m:r>
      </m:oMath>
      <w:r>
        <w:t xml:space="preserve"> optimisation already exceeds the memory of a single workstation once a dense Hamiltonian is formed. (ii) Replace single-run estimates by statistically controlled ones: variance-based error bars, reblocking and multi-seed averages for both energies and overlaps, so that every reported number carries an uncertainty. (iii) Improve the conditioning of the active block with natural-orbital rotations, a truncated pseudo-inverse with an explicit threshold, and an adaptive rule for the number of active states – the </w:t>
      </w:r>
      <m:oMath>
        <m:sSub>
          <m:sSubPr/>
          <m:e>
            <m:r>
              <m:rPr/>
              <m:t>K</m:t>
            </m:r>
          </m:e>
          <m:sub>
            <m:r>
              <m:rPr/>
              <m:t>a</m:t>
            </m:r>
          </m:sub>
        </m:sSub>
        <m:r>
          <m:rPr>
            <m:sty m:val="p"/>
          </m:rPr>
          <m:t>≥</m:t>
        </m:r>
        <m:r>
          <m:rPr/>
          <m:t>6</m:t>
        </m:r>
      </m:oMath>
      <w:r>
        <w:t xml:space="preserve"> degradation in Table 1 is the concrete problem to solve. (iv) Accelerate the auxiliary sampler, which currently dominates the cost, by reweighting from the main sampler and by batching on GPUs. (v) Combine the frozen basis with spin and spatial symmetry labels, so that degenerate manifolds are frozen as multiplets rather than as individual columns, and interface the extraction with a conventional quantum-chemistry code for comparison with EOM-CCSD. The goal is a method that adds excited states at a cost proportional to the number of new states, with controlled and reportable error bars.</w:t>
      </w:r>
    </w:p>
    <w:p w14:paraId="58B807FB">
      <w:pPr>
        <w:pStyle w:val="3"/>
        <w:spacing w:before="160" w:after="40"/>
        <w:ind w:firstLine="0"/>
      </w:pPr>
      <w:r>
        <w:rPr>
          <w:b/>
          <w:sz w:val="18"/>
        </w:rPr>
        <w:t>References</w:t>
      </w:r>
    </w:p>
    <w:p w14:paraId="293093E9">
      <w:pPr>
        <w:spacing w:before="0" w:after="10" w:line="228" w:lineRule="auto"/>
        <w:ind w:left="220" w:hanging="220"/>
      </w:pPr>
      <w:r>
        <w:rPr>
          <w:rFonts w:ascii="Times New Roman" w:hAnsi="Times New Roman"/>
          <w:sz w:val="15"/>
        </w:rPr>
        <w:t>1) P. J. Knowles and N. C. Handy, Chem. Phys. Lett. 111, 315 (1984).</w:t>
      </w:r>
    </w:p>
    <w:p w14:paraId="01D571CB">
      <w:pPr>
        <w:spacing w:before="0" w:after="10" w:line="228" w:lineRule="auto"/>
        <w:ind w:left="220" w:hanging="220"/>
      </w:pPr>
      <w:r>
        <w:rPr>
          <w:rFonts w:ascii="Times New Roman" w:hAnsi="Times New Roman"/>
          <w:sz w:val="15"/>
        </w:rPr>
        <w:t>2) G. Carleo and M. Troyer, Science 355, 602 (2017).</w:t>
      </w:r>
    </w:p>
    <w:p w14:paraId="44318398">
      <w:pPr>
        <w:spacing w:before="0" w:after="10" w:line="228" w:lineRule="auto"/>
        <w:ind w:left="220" w:hanging="220"/>
      </w:pPr>
      <w:r>
        <w:rPr>
          <w:rFonts w:ascii="Times New Roman" w:hAnsi="Times New Roman"/>
          <w:sz w:val="15"/>
        </w:rPr>
        <w:t>3) F. Becca and S. Sorella, Quantum Monte Carlo Approaches for Correlated Systems (Cambridge Univ. Press, 2017).</w:t>
      </w:r>
    </w:p>
    <w:p w14:paraId="302A2F63">
      <w:pPr>
        <w:spacing w:before="0" w:after="10" w:line="228" w:lineRule="auto"/>
        <w:ind w:left="220" w:hanging="220"/>
      </w:pPr>
      <w:r>
        <w:rPr>
          <w:rFonts w:ascii="Times New Roman" w:hAnsi="Times New Roman"/>
          <w:sz w:val="15"/>
        </w:rPr>
        <w:t>4) F. Vicentini et al., SciPost Phys. Codeb. 7, 001 (2022).</w:t>
      </w:r>
    </w:p>
    <w:p w14:paraId="353554C8">
      <w:pPr>
        <w:spacing w:before="0" w:after="10" w:line="228" w:lineRule="auto"/>
        <w:ind w:left="220" w:hanging="220"/>
      </w:pPr>
      <w:r>
        <w:rPr>
          <w:rFonts w:ascii="Times New Roman" w:hAnsi="Times New Roman"/>
          <w:sz w:val="15"/>
        </w:rPr>
        <w:t>5) L. Zhao and E. Neuscamman, J. Chem. Theory Comput. 16, 4689 (2020).</w:t>
      </w:r>
    </w:p>
    <w:p w14:paraId="73E6C1BA">
      <w:pPr>
        <w:spacing w:before="0" w:after="10" w:line="228" w:lineRule="auto"/>
        <w:ind w:left="220" w:hanging="220"/>
      </w:pPr>
      <w:r>
        <w:rPr>
          <w:rFonts w:ascii="Times New Roman" w:hAnsi="Times New Roman"/>
          <w:sz w:val="15"/>
        </w:rPr>
        <w:t>6) M. T. Entwistle et al., Nat. Commun. 14, 274 (2023).</w:t>
      </w:r>
    </w:p>
    <w:p w14:paraId="30BB774E">
      <w:pPr>
        <w:spacing w:before="0" w:after="10" w:line="228" w:lineRule="auto"/>
        <w:ind w:left="220" w:hanging="220"/>
      </w:pPr>
      <w:r>
        <w:rPr>
          <w:rFonts w:ascii="Times New Roman" w:hAnsi="Times New Roman"/>
          <w:sz w:val="15"/>
        </w:rPr>
        <w:t>7) K. Choo et al., Phys. Rev. Lett. 121, 167204 (2018).</w:t>
      </w:r>
    </w:p>
    <w:p w14:paraId="04B29D48">
      <w:pPr>
        <w:spacing w:before="0" w:after="10" w:line="228" w:lineRule="auto"/>
        <w:ind w:left="220" w:hanging="220"/>
      </w:pPr>
      <w:r>
        <w:rPr>
          <w:rFonts w:ascii="Times New Roman" w:hAnsi="Times New Roman"/>
          <w:sz w:val="15"/>
        </w:rPr>
        <w:t>8) D. Pfau et al., Science 385, eadn0137 (2024).</w:t>
      </w:r>
    </w:p>
    <w:p w14:paraId="587B1490">
      <w:pPr>
        <w:spacing w:before="0" w:after="10" w:line="228" w:lineRule="auto"/>
        <w:ind w:left="220" w:hanging="220"/>
      </w:pPr>
      <w:r>
        <w:rPr>
          <w:rFonts w:ascii="Times New Roman" w:hAnsi="Times New Roman"/>
          <w:sz w:val="15"/>
        </w:rPr>
        <w:t>9) Y. Saad, Numerical Methods for Large Eigenvalue Problems, 2nd ed. (SIAM, 2011).</w:t>
      </w:r>
    </w:p>
    <w:p w14:paraId="6FA10728">
      <w:pPr>
        <w:spacing w:before="0" w:after="10" w:line="228" w:lineRule="auto"/>
        <w:ind w:left="220" w:hanging="220"/>
      </w:pPr>
      <w:r>
        <w:rPr>
          <w:rFonts w:ascii="Times New Roman" w:hAnsi="Times New Roman"/>
          <w:sz w:val="15"/>
        </w:rPr>
        <w:t>10) L.-W. Wang and A. Zunger, J. Chem. Phys. 100, 2394 (1994).</w:t>
      </w:r>
    </w:p>
    <w:p w14:paraId="7C95BDDF">
      <w:pPr>
        <w:spacing w:before="0" w:after="10" w:line="228" w:lineRule="auto"/>
        <w:ind w:left="220" w:hanging="220"/>
      </w:pPr>
      <w:r>
        <w:rPr>
          <w:rFonts w:ascii="Times New Roman" w:hAnsi="Times New Roman"/>
          <w:sz w:val="15"/>
        </w:rPr>
        <w:t>11) W. M. C. Foulkes et al., Rev. Mod. Phys. 73, 33 (2001).</w:t>
      </w:r>
    </w:p>
    <w:bookmarkEnd w:id="22"/>
    <w:sectPr>
      <w:type w:val="continuous"/>
      <w:pgSz w:w="11906" w:h="16838"/>
      <w:pgMar w:top="850" w:right="964" w:bottom="907" w:left="964" w:header="567" w:footer="567" w:gutter="0"/>
      <w:cols w:space="340" w:num="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Hiragino Mincho ProN">
    <w:panose1 w:val="0202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DejaVu Math TeX Gyre">
    <w:panose1 w:val="02000503000000000000"/>
    <w:charset w:val="00"/>
    <w:family w:val="auto"/>
    <w:pitch w:val="default"/>
    <w:sig w:usb0="A10000EF" w:usb1="4201F9EE" w:usb2="02000000" w:usb3="00000000" w:csb0="60000193" w:csb1="0DD4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6FBB3D29"/>
    <w:rsid w:val="EA4E29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40" w:lineRule="auto"/>
      <w:ind w:firstLine="200"/>
      <w:jc w:val="both"/>
    </w:pPr>
    <w:rPr>
      <w:rFonts w:ascii="Times New Roman" w:hAnsi="Times New Roman" w:eastAsia="Times New Roman" w:cs="Times New Roman"/>
      <w:sz w:val="20"/>
      <w:szCs w:val="24"/>
      <w:lang w:val="en-US" w:eastAsia="en-US" w:bidi="ar-SA"/>
    </w:rPr>
  </w:style>
  <w:style w:type="paragraph" w:styleId="2">
    <w:name w:val="heading 1"/>
    <w:basedOn w:val="1"/>
    <w:next w:val="3"/>
    <w:link w:val="31"/>
    <w:qFormat/>
    <w:uiPriority w:val="9"/>
    <w:pPr>
      <w:keepNext/>
      <w:keepLines/>
      <w:spacing w:before="140" w:after="40" w:line="240" w:lineRule="auto"/>
      <w:ind w:firstLine="0"/>
      <w:jc w:val="left"/>
      <w:outlineLvl w:val="0"/>
    </w:pPr>
    <w:rPr>
      <w:rFonts w:asciiTheme="majorHAnsi" w:hAnsiTheme="majorHAnsi" w:eastAsiaTheme="majorEastAsia" w:cstheme="majorBidi"/>
      <w:b/>
      <w:color w:val="0F4761" w:themeColor="accent1" w:themeShade="BF"/>
      <w:sz w:val="24"/>
      <w:szCs w:val="40"/>
    </w:rPr>
  </w:style>
  <w:style w:type="paragraph" w:styleId="4">
    <w:name w:val="heading 2"/>
    <w:basedOn w:val="1"/>
    <w:next w:val="3"/>
    <w:link w:val="32"/>
    <w:semiHidden/>
    <w:unhideWhenUsed/>
    <w:qFormat/>
    <w:uiPriority w:val="9"/>
    <w:pPr>
      <w:keepNext/>
      <w:keepLines/>
      <w:spacing w:before="100" w:after="20" w:line="240" w:lineRule="auto"/>
      <w:ind w:firstLine="0"/>
      <w:jc w:val="left"/>
      <w:outlineLvl w:val="1"/>
    </w:pPr>
    <w:rPr>
      <w:rFonts w:asciiTheme="majorHAnsi" w:hAnsiTheme="majorHAnsi" w:eastAsiaTheme="majorEastAsia" w:cstheme="majorBidi"/>
      <w:b/>
      <w:color w:val="0F4761" w:themeColor="accent1" w:themeShade="BF"/>
      <w:sz w:val="21"/>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0" w:after="0" w:line="240" w:lineRule="auto"/>
      <w:ind w:firstLine="200"/>
      <w:jc w:val="both"/>
    </w:pPr>
    <w:rPr>
      <w:rFonts w:ascii="Times New Roman" w:hAnsi="Times New Roman" w:eastAsia="Times New Roman" w:cs="Times New Roman"/>
      <w:sz w:val="20"/>
    </w:r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pPr>
      <w:spacing w:before="0" w:after="0" w:line="240" w:lineRule="auto"/>
      <w:ind w:firstLine="200"/>
      <w:jc w:val="both"/>
    </w:pPr>
    <w:rPr>
      <w:rFonts w:ascii="Times New Roman" w:hAnsi="Times New Roman" w:eastAsia="Times New Roman" w:cs="Times New Roman"/>
      <w:sz w:val="20"/>
    </w:rPr>
  </w:style>
  <w:style w:type="paragraph" w:customStyle="1" w:styleId="24">
    <w:name w:val="Compact"/>
    <w:basedOn w:val="3"/>
    <w:qFormat/>
    <w:uiPriority w:val="0"/>
    <w:pPr>
      <w:spacing w:before="36" w:after="36"/>
    </w:pPr>
  </w:style>
  <w:style w:type="character" w:customStyle="1" w:styleId="25">
    <w:name w:val="Title Char"/>
    <w:basedOn w:val="19"/>
    <w:link w:val="16"/>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spacing w:before="160" w:after="60" w:line="240" w:lineRule="auto"/>
      <w:ind w:firstLine="0"/>
      <w:jc w:val="both"/>
    </w:pPr>
    <w:rPr>
      <w:rFonts w:ascii="Times New Roman" w:hAnsi="Times New Roman" w:eastAsia="Times New Roman" w:cs="Times New Roman"/>
      <w:i w:val="0"/>
      <w:sz w:val="17"/>
    </w:rPr>
  </w:style>
  <w:style w:type="paragraph" w:customStyle="1" w:styleId="45">
    <w:name w:val="Image Caption"/>
    <w:basedOn w:val="12"/>
    <w:uiPriority w:val="0"/>
    <w:pPr>
      <w:spacing w:before="60" w:after="160" w:line="240" w:lineRule="auto"/>
      <w:ind w:firstLine="0"/>
      <w:jc w:val="both"/>
    </w:pPr>
    <w:rPr>
      <w:rFonts w:ascii="Times New Roman" w:hAnsi="Times New Roman" w:eastAsia="Times New Roman" w:cs="Times New Roman"/>
      <w:i w:val="0"/>
      <w:sz w:val="17"/>
    </w:rPr>
  </w:style>
  <w:style w:type="paragraph" w:customStyle="1" w:styleId="46">
    <w:name w:val="Figure"/>
    <w:basedOn w:val="1"/>
    <w:uiPriority w:val="0"/>
  </w:style>
  <w:style w:type="paragraph" w:customStyle="1" w:styleId="47">
    <w:name w:val="Captioned Figure"/>
    <w:basedOn w:val="46"/>
    <w:uiPriority w:val="0"/>
    <w:pPr>
      <w:keepNext/>
      <w:spacing w:before="0" w:after="0" w:line="240" w:lineRule="auto"/>
      <w:ind w:firstLine="0"/>
      <w:jc w:val="center"/>
    </w:pPr>
    <w:rPr>
      <w:rFonts w:ascii="Times New Roman" w:hAnsi="Times New Roman" w:eastAsia="Times New Roman" w:cs="Times New Roman"/>
      <w:sz w:val="20"/>
    </w:r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83</Words>
  <Characters>475</Characters>
  <Lines>12</Lines>
  <Paragraphs>8</Paragraphs>
  <TotalTime>28</TotalTime>
  <ScaleCrop>false</ScaleCrop>
  <LinksUpToDate>false</LinksUpToDate>
  <CharactersWithSpaces>583</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2026-10-28T09:46:00Z</dcterms:created>
  <dc:creator>[name]</dc:creator>
  <cp:lastModifiedBy>我叫杨大锤！</cp:lastModifiedBy>
  <dcterms:modified xsi:type="dcterms:W3CDTF">2026-10-28T20:55:35Z</dcterms:modified>
  <dc:subject>Doctoral midterm report</dc:subject>
  <dc:title>Matrix-Free Deflation for Frozen-Subspace Neural Excited-State Variational Monte Carlo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29780EB4E3C6A40AF2DAE16AABE3855D_42</vt:lpwstr>
  </property>
</Properties>
</file>