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80" w:line="264" w:lineRule="auto"/>
      </w:pPr>
      <w:r>
        <w:rPr>
          <w:rFonts w:ascii="Heiti SC" w:hAnsi="Heiti SC" w:eastAsia="Heiti SC" w:hint="eastAsia"/>
          <w:b/>
          <w:i w:val="0"/>
          <w:color w:val="000000"/>
          <w:sz w:val="46"/>
        </w:rPr>
        <w:t>平台测试简报</w:t>
      </w:r>
    </w:p>
    <w:p>
      <w:pPr>
        <w:spacing w:before="0" w:after="320" w:line="264" w:lineRule="auto"/>
      </w:pPr>
      <w:r>
        <w:rPr>
          <w:rFonts w:ascii="Heiti SC" w:hAnsi="Heiti SC" w:eastAsia="Heiti SC" w:hint="eastAsia"/>
          <w:b w:val="0"/>
          <w:i w:val="0"/>
          <w:color w:val="373737"/>
          <w:sz w:val="28"/>
        </w:rPr>
        <w:t>AgentNexus 文件、上下文与工具编排样例</w:t>
      </w:r>
    </w:p>
    <w:p>
      <w:pPr>
        <w:spacing w:before="0" w:after="40" w:line="264" w:lineRule="auto"/>
      </w:pPr>
      <w:r>
        <w:rPr>
          <w:rFonts w:ascii="Heiti SC" w:hAnsi="Heiti SC" w:eastAsia="Heiti SC" w:hint="eastAsia"/>
          <w:b/>
          <w:i w:val="0"/>
          <w:color w:val="172033"/>
          <w:sz w:val="22"/>
        </w:rPr>
        <w:t>用途：</w:t>
      </w: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验证上传资料解析、连续对话、Skill/MCP 调用和产物下载</w:t>
      </w:r>
    </w:p>
    <w:p>
      <w:pPr>
        <w:spacing w:before="0" w:after="40" w:line="264" w:lineRule="auto"/>
      </w:pPr>
      <w:r>
        <w:rPr>
          <w:rFonts w:ascii="Heiti SC" w:hAnsi="Heiti SC" w:eastAsia="Heiti SC" w:hint="eastAsia"/>
          <w:b/>
          <w:i w:val="0"/>
          <w:color w:val="172033"/>
          <w:sz w:val="22"/>
        </w:rPr>
        <w:t>范围：</w:t>
      </w: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普通模式、专家模式、错误提示、最终验收</w:t>
      </w:r>
    </w:p>
    <w:p>
      <w:pPr>
        <w:spacing w:before="0" w:after="40" w:line="264" w:lineRule="auto"/>
      </w:pPr>
      <w:r>
        <w:rPr>
          <w:rFonts w:ascii="Heiti SC" w:hAnsi="Heiti SC" w:eastAsia="Heiti SC" w:hint="eastAsia"/>
          <w:b/>
          <w:i w:val="0"/>
          <w:color w:val="172033"/>
          <w:sz w:val="22"/>
        </w:rPr>
        <w:t>样例版本：</w:t>
      </w: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2026-08-21 / fixture-v1</w:t>
      </w:r>
    </w:p>
    <w:p>
      <w:pPr>
        <w:spacing w:before="0" w:after="40" w:line="264" w:lineRule="auto"/>
      </w:pPr>
      <w:r>
        <w:rPr>
          <w:rFonts w:ascii="Heiti SC" w:hAnsi="Heiti SC" w:eastAsia="Heiti SC" w:hint="eastAsia"/>
          <w:b/>
          <w:i w:val="0"/>
          <w:color w:val="172033"/>
          <w:sz w:val="22"/>
        </w:rPr>
        <w:t>敏感信息：</w:t>
      </w: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不含真实 API Key、个人信息或生产数据</w:t>
      </w:r>
    </w:p>
    <w:p>
      <w:pPr>
        <w:spacing w:before="320" w:after="160" w:line="264" w:lineRule="auto"/>
      </w:pPr>
      <w:r>
        <w:rPr>
          <w:rFonts w:ascii="Heiti SC" w:hAnsi="Heiti SC" w:eastAsia="Heiti SC" w:hint="eastAsia"/>
          <w:b/>
          <w:i w:val="0"/>
          <w:color w:val="2E74B5"/>
          <w:sz w:val="32"/>
        </w:rPr>
        <w:t>1. 测试目标</w:t>
      </w:r>
    </w:p>
    <w:p>
      <w:pPr>
        <w:spacing w:before="0" w:after="120" w:line="264" w:lineRule="auto"/>
      </w:pP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这份文档是可上传到 AgentNexus 的最小业务资料。它同时包含标题、段落、列表、表格和中英文混排，适合验证平台是否能正确解析附件并将内容带入后续任务。</w:t>
      </w:r>
    </w:p>
    <w:p>
      <w:pPr>
        <w:pStyle w:val="ListBullet"/>
        <w:spacing w:before="0" w:after="120" w:line="280" w:lineRule="auto"/>
      </w:pP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上下文：同一对话的后续问题应继续引用本资料。</w:t>
      </w:r>
    </w:p>
    <w:p>
      <w:pPr>
        <w:pStyle w:val="ListBullet"/>
        <w:spacing w:before="0" w:after="120" w:line="280" w:lineRule="auto"/>
      </w:pP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相关性：工具调用应围绕当前目标，不应被历史天气任务带偏。</w:t>
      </w:r>
    </w:p>
    <w:p>
      <w:pPr>
        <w:pStyle w:val="ListBullet"/>
        <w:spacing w:before="0" w:after="120" w:line="280" w:lineRule="auto"/>
      </w:pP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交付：只有通过最终验收的 DOCX、XLSX、PPTX 和 PDF 才能进入下载区。</w:t>
      </w:r>
    </w:p>
    <w:p>
      <w:pPr>
        <w:spacing w:before="320" w:after="160" w:line="264" w:lineRule="auto"/>
      </w:pPr>
      <w:r>
        <w:rPr>
          <w:rFonts w:ascii="Heiti SC" w:hAnsi="Heiti SC" w:eastAsia="Heiti SC" w:hint="eastAsia"/>
          <w:b/>
          <w:i w:val="0"/>
          <w:color w:val="2E74B5"/>
          <w:sz w:val="32"/>
        </w:rPr>
        <w:t>2. 测试资料概览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8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 w:hint="eastAsia"/>
                <w:b/>
                <w:i w:val="0"/>
                <w:color w:val="0B2545"/>
                <w:sz w:val="20"/>
              </w:rPr>
              <w:t>资料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 w:hint="eastAsia"/>
                <w:b/>
                <w:i w:val="0"/>
                <w:color w:val="0B2545"/>
                <w:sz w:val="20"/>
              </w:rPr>
              <w:t>覆盖内容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 w:hint="eastAsia"/>
                <w:b/>
                <w:i w:val="0"/>
                <w:color w:val="0B2545"/>
                <w:sz w:val="20"/>
              </w:rPr>
              <w:t>预期检查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sample.md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标题、表格、列表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Markdown 渲染与结构复用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sample.xlsx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两张工作表、公式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数值、公式和渲染布局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mcp-missing-parameter.json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必填 project_id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友好参数提示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sample_skill.zip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SKILL.md 安装包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安装、启用和匹配</w:t>
            </w:r>
          </w:p>
        </w:tc>
      </w:tr>
    </w:tbl>
    <w:p>
      <w:pPr>
        <w:spacing w:before="320" w:after="160" w:line="264" w:lineRule="auto"/>
      </w:pPr>
      <w:r>
        <w:rPr>
          <w:rFonts w:ascii="Heiti SC" w:hAnsi="Heiti SC" w:eastAsia="Heiti SC" w:hint="eastAsia"/>
          <w:b/>
          <w:i w:val="0"/>
          <w:color w:val="2E74B5"/>
          <w:sz w:val="32"/>
        </w:rPr>
        <w:t>3. 风险与行动计划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 w:hint="eastAsia"/>
                <w:b/>
                <w:i w:val="0"/>
                <w:color w:val="0B2545"/>
                <w:sz w:val="20"/>
              </w:rPr>
              <w:t>级别</w:t>
            </w:r>
          </w:p>
        </w:tc>
        <w:tc>
          <w:tcPr>
            <w:tcW w:type="dxa" w:w="30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 w:hint="eastAsia"/>
                <w:b/>
                <w:i w:val="0"/>
                <w:color w:val="0B2545"/>
                <w:sz w:val="20"/>
              </w:rPr>
              <w:t>风险</w:t>
            </w:r>
          </w:p>
        </w:tc>
        <w:tc>
          <w:tcPr>
            <w:tcW w:type="dxa" w:w="45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 w:hint="eastAsia"/>
                <w:b/>
                <w:i w:val="0"/>
                <w:color w:val="0B2545"/>
                <w:sz w:val="20"/>
              </w:rPr>
              <w:t>处置建议</w:t>
            </w:r>
          </w:p>
        </w:tc>
        <w:tc>
          <w:tcPr>
            <w:tcW w:type="dxa" w:w="9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Heiti SC" w:hAnsi="Heiti SC" w:eastAsia="Heiti SC" w:hint="eastAsia"/>
                <w:b/>
                <w:i w:val="0"/>
                <w:color w:val="0B2545"/>
                <w:sz w:val="20"/>
              </w:rPr>
              <w:t>状态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模型或网络不可用时用户看不到原因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在对话区显示可读错误和重试入口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待验证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P0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MCP 缺少必填参数导致内部堆栈外泄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先做 Schema 校验并提示缺少字段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待验证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Markdown 产物以源码形式展示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预览区按 Markdown 渲染，下载仍保留原文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待验证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P1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专家汇总未做最终目标确认</w:t>
            </w:r>
          </w:p>
        </w:tc>
        <w:tc>
          <w:tcPr>
            <w:tcW w:type="dxa" w:w="4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验收节点检查目标、格式和下载要求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4" w:lineRule="auto"/>
            </w:pPr>
            <w:r/>
            <w:r>
              <w:rPr>
                <w:rFonts w:ascii="Heiti SC" w:hAnsi="Heiti SC" w:eastAsia="Heiti SC" w:hint="eastAsia"/>
                <w:b w:val="0"/>
                <w:i w:val="0"/>
                <w:color w:val="172033"/>
                <w:sz w:val="20"/>
              </w:rPr>
              <w:t>待验证</w:t>
            </w:r>
          </w:p>
        </w:tc>
      </w:tr>
    </w:tbl>
    <w:p>
      <w:pPr>
        <w:spacing w:before="320" w:after="160" w:line="264" w:lineRule="auto"/>
      </w:pPr>
      <w:r>
        <w:rPr>
          <w:rFonts w:ascii="Heiti SC" w:hAnsi="Heiti SC" w:eastAsia="Heiti SC" w:hint="eastAsia"/>
          <w:b/>
          <w:i w:val="0"/>
          <w:color w:val="2E74B5"/>
          <w:sz w:val="32"/>
        </w:rPr>
        <w:t>4. 建议对话</w:t>
      </w:r>
    </w:p>
    <w:p>
      <w:pPr>
        <w:spacing w:before="0" w:after="120" w:line="264" w:lineRule="auto"/>
      </w:pPr>
      <w:r>
        <w:rPr>
          <w:rFonts w:ascii="Heiti SC" w:hAnsi="Heiti SC" w:eastAsia="Heiti SC" w:hint="eastAsia"/>
          <w:b/>
          <w:i w:val="0"/>
          <w:color w:val="172033"/>
          <w:sz w:val="22"/>
        </w:rPr>
        <w:t>round1：</w:t>
      </w: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请总结我上传的测试资料，列出关键结论、风险和待办。</w:t>
      </w:r>
    </w:p>
    <w:p>
      <w:pPr>
        <w:spacing w:before="0" w:after="120" w:line="264" w:lineRule="auto"/>
      </w:pPr>
      <w:r>
        <w:rPr>
          <w:rFonts w:ascii="Heiti SC" w:hAnsi="Heiti SC" w:eastAsia="Heiti SC" w:hint="eastAsia"/>
          <w:b/>
          <w:i w:val="0"/>
          <w:color w:val="172033"/>
          <w:sz w:val="22"/>
        </w:rPr>
        <w:t>round2：</w:t>
      </w: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把上面的结果整理成一份 Word 和 Markdown 文档，保留相同的章节结构。</w:t>
      </w:r>
    </w:p>
    <w:p>
      <w:pPr>
        <w:spacing w:before="0" w:after="120" w:line="264" w:lineRule="auto"/>
      </w:pPr>
      <w:r>
        <w:rPr>
          <w:rFonts w:ascii="Heiti SC" w:hAnsi="Heiti SC" w:eastAsia="Heiti SC" w:hint="eastAsia"/>
          <w:b/>
          <w:i w:val="0"/>
          <w:color w:val="172033"/>
          <w:sz w:val="22"/>
        </w:rPr>
        <w:t>round3：</w:t>
      </w: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再生成一个 Excel 汇总和一个 3 页 PPT，并提供下载。</w:t>
      </w:r>
    </w:p>
    <w:p>
      <w:pPr>
        <w:spacing w:before="320" w:after="160" w:line="264" w:lineRule="auto"/>
      </w:pPr>
      <w:r>
        <w:rPr>
          <w:rFonts w:ascii="Heiti SC" w:hAnsi="Heiti SC" w:eastAsia="Heiti SC" w:hint="eastAsia"/>
          <w:b/>
          <w:i w:val="0"/>
          <w:color w:val="2E74B5"/>
          <w:sz w:val="32"/>
        </w:rPr>
        <w:t>5. 验收标准</w:t>
      </w:r>
    </w:p>
    <w:p>
      <w:pPr>
        <w:spacing w:before="0" w:after="120" w:line="264" w:lineRule="auto"/>
      </w:pPr>
      <w:r>
        <w:rPr>
          <w:rFonts w:ascii="Heiti SC" w:hAnsi="Heiti SC" w:eastAsia="Heiti SC" w:hint="eastAsia"/>
          <w:b w:val="0"/>
          <w:i w:val="0"/>
          <w:color w:val="172033"/>
          <w:sz w:val="22"/>
        </w:rPr>
        <w:t>回答必须与 AgentNexus 测试资料相关；执行过程能看到计划、大节点和 Skill/MCP 子节点；任何模型或工具故障都要在对话中说明；产物可预览、可下载、重新打开任务后仍可访问。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Heiti SC" w:hAnsi="Heiti SC" w:eastAsia="Heiti SC" w:hint="eastAsia"/>
        <w:b w:val="0"/>
        <w:i w:val="0"/>
        <w:color w:val="667085"/>
        <w:sz w:val="18"/>
      </w:rPr>
      <w:t>AgentNexus sample · 仅用于平台测试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left"/>
    </w:pPr>
    <w:r>
      <w:rPr>
        <w:rFonts w:ascii="Heiti SC" w:hAnsi="Heiti SC" w:eastAsia="Heiti SC" w:hint="eastAsia"/>
        <w:b w:val="0"/>
        <w:i w:val="0"/>
        <w:color w:val="667085"/>
        <w:sz w:val="18"/>
      </w:rPr>
      <w:t>AgentNexus · 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eiti SC" w:hAnsi="Heiti SC" w:eastAsia="Heiti SC" w:hint="eastAs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Heiti SC" w:hAnsi="Heiti SC" w:eastAsia="Heiti SC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Heiti SC" w:hAnsi="Heiti SC" w:eastAsia="Heiti SC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