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057CC" w14:textId="77777777" w:rsidR="00F4793E" w:rsidRPr="007B4251" w:rsidRDefault="00F4793E">
      <w:pPr>
        <w:spacing w:before="1400" w:after="1400"/>
        <w:rPr>
          <w:rFonts w:asciiTheme="minorEastAsia" w:eastAsiaTheme="minorEastAsia" w:hAnsiTheme="minorEastAsia"/>
        </w:rPr>
      </w:pPr>
    </w:p>
    <w:p w14:paraId="5022E472" w14:textId="49891E2F" w:rsidR="00F4793E" w:rsidRPr="007B4251" w:rsidRDefault="00000000">
      <w:pPr>
        <w:shd w:val="clear" w:color="auto" w:fill="1F4E79"/>
        <w:jc w:val="center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  <w:b/>
          <w:bCs/>
          <w:color w:val="FFFFFF"/>
          <w:sz w:val="38"/>
          <w:szCs w:val="38"/>
        </w:rPr>
        <w:br/>
        <w:t>EU AI Act와 국내 AI법 비교</w:t>
      </w:r>
      <w:r w:rsidRPr="007B4251">
        <w:rPr>
          <w:rFonts w:asciiTheme="minorEastAsia" w:eastAsiaTheme="minorEastAsia" w:hAnsiTheme="minorEastAsia"/>
          <w:color w:val="D6E4F0"/>
          <w:sz w:val="26"/>
          <w:szCs w:val="26"/>
        </w:rPr>
        <w:br/>
        <w:t>공공·사회적 결정영역 규제 비교 분석</w:t>
      </w:r>
      <w:r w:rsidRPr="007B4251">
        <w:rPr>
          <w:rFonts w:asciiTheme="minorEastAsia" w:eastAsiaTheme="minorEastAsia" w:hAnsiTheme="minorEastAsia"/>
          <w:sz w:val="10"/>
          <w:szCs w:val="10"/>
        </w:rPr>
        <w:t xml:space="preserve"> </w:t>
      </w:r>
    </w:p>
    <w:p w14:paraId="65A2D1B6" w14:textId="77777777" w:rsidR="00F4793E" w:rsidRPr="007B4251" w:rsidRDefault="00F4793E">
      <w:pPr>
        <w:spacing w:before="300" w:after="300"/>
        <w:rPr>
          <w:rFonts w:asciiTheme="minorEastAsia" w:eastAsiaTheme="minorEastAsia" w:hAnsiTheme="minorEastAsia"/>
        </w:rPr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6"/>
        <w:gridCol w:w="3199"/>
      </w:tblGrid>
      <w:tr w:rsidR="008F1BC8" w:rsidRPr="007B4251" w14:paraId="7F0B78F6" w14:textId="77777777" w:rsidTr="007040F0">
        <w:trPr>
          <w:jc w:val="center"/>
        </w:trPr>
        <w:tc>
          <w:tcPr>
            <w:tcW w:w="0" w:type="auto"/>
          </w:tcPr>
          <w:p w14:paraId="748D79AE" w14:textId="703600D1" w:rsidR="008F1BC8" w:rsidRPr="007B4251" w:rsidRDefault="008F1BC8" w:rsidP="005B5C84">
            <w:pPr>
              <w:spacing w:after="40"/>
              <w:jc w:val="center"/>
              <w:rPr>
                <w:rFonts w:asciiTheme="minorEastAsia" w:eastAsiaTheme="minorEastAsia" w:hAnsiTheme="minorEastAsia"/>
                <w:color w:val="595959"/>
              </w:rPr>
            </w:pPr>
            <w:r w:rsidRPr="007B4251">
              <w:rPr>
                <w:rFonts w:asciiTheme="minorEastAsia" w:eastAsiaTheme="minorEastAsia" w:hAnsiTheme="minorEastAsia" w:hint="eastAsia"/>
                <w:color w:val="595959"/>
              </w:rPr>
              <w:t>과목명</w:t>
            </w:r>
          </w:p>
        </w:tc>
        <w:tc>
          <w:tcPr>
            <w:tcW w:w="0" w:type="auto"/>
          </w:tcPr>
          <w:p w14:paraId="7281F7C7" w14:textId="21BB10C9" w:rsidR="008F1BC8" w:rsidRPr="007B4251" w:rsidRDefault="008F1BC8" w:rsidP="005B5C84">
            <w:pPr>
              <w:spacing w:after="40"/>
              <w:jc w:val="center"/>
              <w:rPr>
                <w:rFonts w:asciiTheme="minorEastAsia" w:eastAsiaTheme="minorEastAsia" w:hAnsiTheme="minorEastAsia"/>
                <w:color w:val="595959"/>
              </w:rPr>
            </w:pPr>
            <w:r w:rsidRPr="007B4251">
              <w:rPr>
                <w:rFonts w:asciiTheme="minorEastAsia" w:eastAsiaTheme="minorEastAsia" w:hAnsiTheme="minorEastAsia"/>
                <w:color w:val="595959"/>
              </w:rPr>
              <w:t>AI 거버넌스: 관련법과 국제표준</w:t>
            </w:r>
          </w:p>
        </w:tc>
      </w:tr>
      <w:tr w:rsidR="008F1BC8" w:rsidRPr="007B4251" w14:paraId="523AA95C" w14:textId="77777777" w:rsidTr="007040F0">
        <w:trPr>
          <w:jc w:val="center"/>
        </w:trPr>
        <w:tc>
          <w:tcPr>
            <w:tcW w:w="0" w:type="auto"/>
          </w:tcPr>
          <w:p w14:paraId="762C7651" w14:textId="6D3F36C6" w:rsidR="008F1BC8" w:rsidRPr="007B4251" w:rsidRDefault="008F1BC8" w:rsidP="005B5C84">
            <w:pPr>
              <w:spacing w:after="40"/>
              <w:jc w:val="center"/>
              <w:rPr>
                <w:rFonts w:asciiTheme="minorEastAsia" w:eastAsiaTheme="minorEastAsia" w:hAnsiTheme="minorEastAsia"/>
                <w:color w:val="595959"/>
              </w:rPr>
            </w:pPr>
            <w:r w:rsidRPr="007B4251">
              <w:rPr>
                <w:rFonts w:asciiTheme="minorEastAsia" w:eastAsiaTheme="minorEastAsia" w:hAnsiTheme="minorEastAsia" w:hint="eastAsia"/>
                <w:color w:val="595959"/>
              </w:rPr>
              <w:t>담당교수</w:t>
            </w:r>
          </w:p>
        </w:tc>
        <w:tc>
          <w:tcPr>
            <w:tcW w:w="0" w:type="auto"/>
          </w:tcPr>
          <w:p w14:paraId="22C3F27F" w14:textId="57E21AE2" w:rsidR="008F1BC8" w:rsidRPr="007B4251" w:rsidRDefault="008F1BC8" w:rsidP="005B5C84">
            <w:pPr>
              <w:spacing w:after="40"/>
              <w:jc w:val="center"/>
              <w:rPr>
                <w:rFonts w:asciiTheme="minorEastAsia" w:eastAsiaTheme="minorEastAsia" w:hAnsiTheme="minorEastAsia"/>
                <w:color w:val="595959"/>
              </w:rPr>
            </w:pPr>
            <w:r w:rsidRPr="007B4251">
              <w:rPr>
                <w:rFonts w:asciiTheme="minorEastAsia" w:eastAsiaTheme="minorEastAsia" w:hAnsiTheme="minorEastAsia" w:hint="eastAsia"/>
                <w:color w:val="595959"/>
              </w:rPr>
              <w:t>양희정 교수님</w:t>
            </w:r>
          </w:p>
        </w:tc>
      </w:tr>
      <w:tr w:rsidR="000B2B76" w:rsidRPr="007B4251" w14:paraId="292F371A" w14:textId="77777777" w:rsidTr="007040F0">
        <w:trPr>
          <w:jc w:val="center"/>
        </w:trPr>
        <w:tc>
          <w:tcPr>
            <w:tcW w:w="0" w:type="auto"/>
          </w:tcPr>
          <w:p w14:paraId="7B1F7896" w14:textId="259EF562" w:rsidR="000B2B76" w:rsidRPr="007B4251" w:rsidRDefault="000B2B76" w:rsidP="005B5C84">
            <w:pPr>
              <w:spacing w:after="40"/>
              <w:jc w:val="center"/>
              <w:rPr>
                <w:rFonts w:asciiTheme="minorEastAsia" w:eastAsiaTheme="minorEastAsia" w:hAnsiTheme="minorEastAsia" w:hint="eastAsia"/>
                <w:color w:val="595959"/>
              </w:rPr>
            </w:pPr>
            <w:r>
              <w:rPr>
                <w:rFonts w:asciiTheme="minorEastAsia" w:eastAsiaTheme="minorEastAsia" w:hAnsiTheme="minorEastAsia" w:hint="eastAsia"/>
                <w:color w:val="595959"/>
              </w:rPr>
              <w:t>학번</w:t>
            </w:r>
          </w:p>
        </w:tc>
        <w:tc>
          <w:tcPr>
            <w:tcW w:w="0" w:type="auto"/>
          </w:tcPr>
          <w:p w14:paraId="01620A3B" w14:textId="1A3F0AF2" w:rsidR="000B2B76" w:rsidRPr="007B4251" w:rsidRDefault="000B2B76" w:rsidP="005B5C84">
            <w:pPr>
              <w:spacing w:after="40"/>
              <w:jc w:val="center"/>
              <w:rPr>
                <w:rFonts w:asciiTheme="minorEastAsia" w:eastAsiaTheme="minorEastAsia" w:hAnsiTheme="minorEastAsia" w:hint="eastAsia"/>
                <w:color w:val="595959"/>
              </w:rPr>
            </w:pPr>
            <w:r w:rsidRPr="000B2B76">
              <w:rPr>
                <w:rFonts w:asciiTheme="minorEastAsia" w:eastAsiaTheme="minorEastAsia" w:hAnsiTheme="minorEastAsia"/>
                <w:color w:val="595959"/>
              </w:rPr>
              <w:t>202576627</w:t>
            </w:r>
          </w:p>
        </w:tc>
      </w:tr>
      <w:tr w:rsidR="008F1BC8" w:rsidRPr="007B4251" w14:paraId="4403C9CE" w14:textId="77777777" w:rsidTr="007040F0">
        <w:trPr>
          <w:jc w:val="center"/>
        </w:trPr>
        <w:tc>
          <w:tcPr>
            <w:tcW w:w="0" w:type="auto"/>
          </w:tcPr>
          <w:p w14:paraId="2F80033E" w14:textId="724DFCC1" w:rsidR="008F1BC8" w:rsidRPr="007B4251" w:rsidRDefault="008F1BC8" w:rsidP="005B5C84">
            <w:pPr>
              <w:spacing w:after="40"/>
              <w:jc w:val="center"/>
              <w:rPr>
                <w:rFonts w:asciiTheme="minorEastAsia" w:eastAsiaTheme="minorEastAsia" w:hAnsiTheme="minorEastAsia"/>
                <w:color w:val="595959"/>
              </w:rPr>
            </w:pPr>
            <w:r w:rsidRPr="007B4251">
              <w:rPr>
                <w:rFonts w:asciiTheme="minorEastAsia" w:eastAsiaTheme="minorEastAsia" w:hAnsiTheme="minorEastAsia" w:hint="eastAsia"/>
                <w:color w:val="595959"/>
              </w:rPr>
              <w:t>제출자</w:t>
            </w:r>
          </w:p>
        </w:tc>
        <w:tc>
          <w:tcPr>
            <w:tcW w:w="0" w:type="auto"/>
          </w:tcPr>
          <w:p w14:paraId="5D092CAD" w14:textId="71DA0EC9" w:rsidR="008F1BC8" w:rsidRPr="007B4251" w:rsidRDefault="008F1BC8" w:rsidP="005B5C84">
            <w:pPr>
              <w:spacing w:after="40"/>
              <w:jc w:val="center"/>
              <w:rPr>
                <w:rFonts w:asciiTheme="minorEastAsia" w:eastAsiaTheme="minorEastAsia" w:hAnsiTheme="minorEastAsia"/>
                <w:color w:val="595959"/>
              </w:rPr>
            </w:pPr>
            <w:r w:rsidRPr="007B4251">
              <w:rPr>
                <w:rFonts w:asciiTheme="minorEastAsia" w:eastAsiaTheme="minorEastAsia" w:hAnsiTheme="minorEastAsia" w:hint="eastAsia"/>
                <w:color w:val="595959"/>
              </w:rPr>
              <w:t>유한나</w:t>
            </w:r>
          </w:p>
        </w:tc>
      </w:tr>
      <w:tr w:rsidR="008F1BC8" w:rsidRPr="007B4251" w14:paraId="0ABB4C4E" w14:textId="77777777" w:rsidTr="007040F0">
        <w:trPr>
          <w:jc w:val="center"/>
        </w:trPr>
        <w:tc>
          <w:tcPr>
            <w:tcW w:w="0" w:type="auto"/>
          </w:tcPr>
          <w:p w14:paraId="6061BF52" w14:textId="674FC991" w:rsidR="008F1BC8" w:rsidRPr="007B4251" w:rsidRDefault="008F1BC8" w:rsidP="005B5C84">
            <w:pPr>
              <w:spacing w:after="40"/>
              <w:jc w:val="center"/>
              <w:rPr>
                <w:rFonts w:asciiTheme="minorEastAsia" w:eastAsiaTheme="minorEastAsia" w:hAnsiTheme="minorEastAsia"/>
                <w:color w:val="595959"/>
              </w:rPr>
            </w:pPr>
            <w:r w:rsidRPr="007B4251">
              <w:rPr>
                <w:rFonts w:asciiTheme="minorEastAsia" w:eastAsiaTheme="minorEastAsia" w:hAnsiTheme="minorEastAsia" w:hint="eastAsia"/>
                <w:color w:val="595959"/>
              </w:rPr>
              <w:t>제출일</w:t>
            </w:r>
          </w:p>
        </w:tc>
        <w:tc>
          <w:tcPr>
            <w:tcW w:w="0" w:type="auto"/>
          </w:tcPr>
          <w:p w14:paraId="20F5A4AD" w14:textId="7933ECBB" w:rsidR="008F1BC8" w:rsidRPr="007B4251" w:rsidRDefault="008F1BC8" w:rsidP="005B5C84">
            <w:pPr>
              <w:spacing w:after="40"/>
              <w:jc w:val="center"/>
              <w:rPr>
                <w:rFonts w:asciiTheme="minorEastAsia" w:eastAsiaTheme="minorEastAsia" w:hAnsiTheme="minorEastAsia"/>
                <w:color w:val="595959"/>
              </w:rPr>
            </w:pPr>
            <w:r w:rsidRPr="007B4251">
              <w:rPr>
                <w:rFonts w:asciiTheme="minorEastAsia" w:eastAsiaTheme="minorEastAsia" w:hAnsiTheme="minorEastAsia" w:hint="eastAsia"/>
                <w:color w:val="595959"/>
              </w:rPr>
              <w:t>2026.04.</w:t>
            </w:r>
            <w:r w:rsidR="00A64FB9" w:rsidRPr="007B4251">
              <w:rPr>
                <w:rFonts w:asciiTheme="minorEastAsia" w:eastAsiaTheme="minorEastAsia" w:hAnsiTheme="minorEastAsia"/>
                <w:color w:val="595959"/>
              </w:rPr>
              <w:t>1</w:t>
            </w:r>
            <w:r w:rsidR="003B15E7">
              <w:rPr>
                <w:rFonts w:asciiTheme="minorEastAsia" w:eastAsiaTheme="minorEastAsia" w:hAnsiTheme="minorEastAsia"/>
                <w:color w:val="595959"/>
              </w:rPr>
              <w:t>6</w:t>
            </w:r>
          </w:p>
        </w:tc>
      </w:tr>
      <w:tr w:rsidR="008F1BC8" w:rsidRPr="007B4251" w14:paraId="70835A1B" w14:textId="77777777" w:rsidTr="007040F0">
        <w:trPr>
          <w:jc w:val="center"/>
        </w:trPr>
        <w:tc>
          <w:tcPr>
            <w:tcW w:w="0" w:type="auto"/>
          </w:tcPr>
          <w:p w14:paraId="4E6AFC70" w14:textId="77777777" w:rsidR="008F1BC8" w:rsidRPr="007B4251" w:rsidRDefault="008F1BC8" w:rsidP="008F1BC8">
            <w:pPr>
              <w:spacing w:after="40"/>
              <w:jc w:val="center"/>
              <w:rPr>
                <w:rFonts w:asciiTheme="minorEastAsia" w:eastAsiaTheme="minorEastAsia" w:hAnsiTheme="minorEastAsia"/>
                <w:color w:val="595959"/>
              </w:rPr>
            </w:pPr>
          </w:p>
        </w:tc>
        <w:tc>
          <w:tcPr>
            <w:tcW w:w="0" w:type="auto"/>
          </w:tcPr>
          <w:p w14:paraId="7963460D" w14:textId="77777777" w:rsidR="008F1BC8" w:rsidRPr="007B4251" w:rsidRDefault="008F1BC8" w:rsidP="008F1BC8">
            <w:pPr>
              <w:spacing w:after="40"/>
              <w:jc w:val="center"/>
              <w:rPr>
                <w:rFonts w:asciiTheme="minorEastAsia" w:eastAsiaTheme="minorEastAsia" w:hAnsiTheme="minorEastAsia"/>
                <w:color w:val="595959"/>
              </w:rPr>
            </w:pPr>
          </w:p>
        </w:tc>
      </w:tr>
    </w:tbl>
    <w:p w14:paraId="36A73BFB" w14:textId="77777777" w:rsidR="00F4793E" w:rsidRPr="007B4251" w:rsidRDefault="00F4793E">
      <w:pPr>
        <w:spacing w:before="80" w:after="80"/>
        <w:rPr>
          <w:rFonts w:asciiTheme="minorEastAsia" w:eastAsiaTheme="minorEastAsia" w:hAnsiTheme="minorEastAsia"/>
        </w:rPr>
      </w:pPr>
    </w:p>
    <w:p w14:paraId="48B4E520" w14:textId="77777777" w:rsidR="00F4793E" w:rsidRPr="007B4251" w:rsidRDefault="00000000">
      <w:pPr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br w:type="page"/>
      </w:r>
    </w:p>
    <w:p w14:paraId="5EC6C767" w14:textId="77777777" w:rsidR="00F4793E" w:rsidRPr="007B4251" w:rsidRDefault="00000000">
      <w:pPr>
        <w:pStyle w:val="1"/>
        <w:shd w:val="clear" w:color="auto" w:fill="1F4E79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lastRenderedPageBreak/>
        <w:t xml:space="preserve">  목 차</w:t>
      </w:r>
    </w:p>
    <w:p w14:paraId="0ADC9EE6" w14:textId="77777777" w:rsidR="00F4793E" w:rsidRPr="007B4251" w:rsidRDefault="00F4793E">
      <w:pPr>
        <w:spacing w:before="40" w:after="40"/>
        <w:rPr>
          <w:rFonts w:asciiTheme="minorEastAsia" w:eastAsiaTheme="minorEastAsia" w:hAnsiTheme="minorEastAsia"/>
        </w:rPr>
      </w:pPr>
    </w:p>
    <w:p w14:paraId="4CC8A749" w14:textId="77777777" w:rsidR="00F4793E" w:rsidRPr="007B4251" w:rsidRDefault="00000000">
      <w:pPr>
        <w:spacing w:before="60" w:after="60" w:line="276" w:lineRule="auto"/>
        <w:jc w:val="both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  <w:b/>
          <w:bCs/>
          <w:color w:val="1F4E79"/>
          <w:sz w:val="22"/>
          <w:szCs w:val="22"/>
        </w:rPr>
        <w:t>Ⅰ. 서론</w:t>
      </w:r>
      <w:r w:rsidRPr="007B4251">
        <w:rPr>
          <w:rFonts w:asciiTheme="minorEastAsia" w:eastAsiaTheme="minorEastAsia" w:hAnsiTheme="minorEastAsia"/>
          <w:color w:val="595959"/>
          <w:sz w:val="20"/>
          <w:szCs w:val="20"/>
        </w:rPr>
        <w:t xml:space="preserve">  ·  연구 배경 및 법제 개요 / EU AI Act vs 한국 AI기본법 핵심 비교</w:t>
      </w:r>
    </w:p>
    <w:p w14:paraId="48C66B2B" w14:textId="77777777" w:rsidR="00F4793E" w:rsidRPr="007B4251" w:rsidRDefault="00000000">
      <w:pPr>
        <w:spacing w:before="60" w:after="60" w:line="276" w:lineRule="auto"/>
        <w:jc w:val="both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  <w:b/>
          <w:bCs/>
          <w:color w:val="1F4E79"/>
          <w:sz w:val="22"/>
          <w:szCs w:val="22"/>
        </w:rPr>
        <w:t>Ⅱ. 본론 1</w:t>
      </w:r>
      <w:r w:rsidRPr="007B4251">
        <w:rPr>
          <w:rFonts w:asciiTheme="minorEastAsia" w:eastAsiaTheme="minorEastAsia" w:hAnsiTheme="minorEastAsia"/>
          <w:color w:val="595959"/>
          <w:sz w:val="20"/>
          <w:szCs w:val="20"/>
        </w:rPr>
        <w:t xml:space="preserve">  ·  교육·채용·복지·금융 분야 EU식 고위험 규제 도입 시 영향</w:t>
      </w:r>
    </w:p>
    <w:p w14:paraId="7F0A2DAE" w14:textId="77777777" w:rsidR="00F4793E" w:rsidRPr="007B4251" w:rsidRDefault="00000000">
      <w:pPr>
        <w:spacing w:before="60" w:after="60" w:line="276" w:lineRule="auto"/>
        <w:jc w:val="both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  <w:b/>
          <w:bCs/>
          <w:color w:val="1F4E79"/>
          <w:sz w:val="22"/>
          <w:szCs w:val="22"/>
        </w:rPr>
        <w:t>Ⅱ. 본론 2</w:t>
      </w:r>
      <w:r w:rsidRPr="007B4251">
        <w:rPr>
          <w:rFonts w:asciiTheme="minorEastAsia" w:eastAsiaTheme="minorEastAsia" w:hAnsiTheme="minorEastAsia"/>
          <w:color w:val="595959"/>
          <w:sz w:val="20"/>
          <w:szCs w:val="20"/>
        </w:rPr>
        <w:t xml:space="preserve">  ·  기존 한국 법령과의 충돌 분석</w:t>
      </w:r>
    </w:p>
    <w:p w14:paraId="44875CFA" w14:textId="77777777" w:rsidR="00F4793E" w:rsidRPr="007B4251" w:rsidRDefault="00000000">
      <w:pPr>
        <w:spacing w:before="60" w:after="60" w:line="276" w:lineRule="auto"/>
        <w:jc w:val="both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  <w:b/>
          <w:bCs/>
          <w:color w:val="1F4E79"/>
          <w:sz w:val="22"/>
          <w:szCs w:val="22"/>
        </w:rPr>
        <w:t>Ⅱ. 본론 3</w:t>
      </w:r>
      <w:r w:rsidRPr="007B4251">
        <w:rPr>
          <w:rFonts w:asciiTheme="minorEastAsia" w:eastAsiaTheme="minorEastAsia" w:hAnsiTheme="minorEastAsia"/>
          <w:color w:val="595959"/>
          <w:sz w:val="20"/>
          <w:szCs w:val="20"/>
        </w:rPr>
        <w:t xml:space="preserve">  ·  알고리즘 차별 방지의 기술적 구현 가능성</w:t>
      </w:r>
    </w:p>
    <w:p w14:paraId="1806CAE6" w14:textId="77777777" w:rsidR="00F4793E" w:rsidRPr="007B4251" w:rsidRDefault="00000000">
      <w:pPr>
        <w:spacing w:before="60" w:after="60" w:line="276" w:lineRule="auto"/>
        <w:jc w:val="both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  <w:b/>
          <w:bCs/>
          <w:color w:val="1F4E79"/>
          <w:sz w:val="22"/>
          <w:szCs w:val="22"/>
        </w:rPr>
        <w:t>Ⅱ. 본론 4</w:t>
      </w:r>
      <w:r w:rsidRPr="007B4251">
        <w:rPr>
          <w:rFonts w:asciiTheme="minorEastAsia" w:eastAsiaTheme="minorEastAsia" w:hAnsiTheme="minorEastAsia"/>
          <w:color w:val="595959"/>
          <w:sz w:val="20"/>
          <w:szCs w:val="20"/>
        </w:rPr>
        <w:t xml:space="preserve">  ·  사회적 약자 보호를 위한 추가 제도 방안</w:t>
      </w:r>
    </w:p>
    <w:p w14:paraId="57A2987E" w14:textId="77777777" w:rsidR="00F4793E" w:rsidRPr="007B4251" w:rsidRDefault="00000000">
      <w:pPr>
        <w:spacing w:before="60" w:after="60" w:line="276" w:lineRule="auto"/>
        <w:jc w:val="both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  <w:b/>
          <w:bCs/>
          <w:color w:val="1F4E79"/>
          <w:sz w:val="22"/>
          <w:szCs w:val="22"/>
        </w:rPr>
        <w:t>Ⅲ. 결론</w:t>
      </w:r>
      <w:r w:rsidRPr="007B4251">
        <w:rPr>
          <w:rFonts w:asciiTheme="minorEastAsia" w:eastAsiaTheme="minorEastAsia" w:hAnsiTheme="minorEastAsia"/>
          <w:color w:val="595959"/>
          <w:sz w:val="20"/>
          <w:szCs w:val="20"/>
        </w:rPr>
        <w:t xml:space="preserve">  ·  종합 요약 및 정책 제언</w:t>
      </w:r>
    </w:p>
    <w:p w14:paraId="13C109CB" w14:textId="4A47EE28" w:rsidR="00F4793E" w:rsidRPr="007B4251" w:rsidRDefault="00F4793E">
      <w:pPr>
        <w:spacing w:before="60" w:after="60" w:line="276" w:lineRule="auto"/>
        <w:jc w:val="both"/>
        <w:rPr>
          <w:rFonts w:asciiTheme="minorEastAsia" w:eastAsiaTheme="minorEastAsia" w:hAnsiTheme="minorEastAsia"/>
        </w:rPr>
      </w:pPr>
    </w:p>
    <w:p w14:paraId="79422D55" w14:textId="77AE75DB" w:rsidR="00CB2EE3" w:rsidRPr="007B4251" w:rsidRDefault="00CB2EE3" w:rsidP="00CB2EE3">
      <w:pPr>
        <w:pStyle w:val="1"/>
        <w:shd w:val="clear" w:color="auto" w:fill="1F4E79"/>
        <w:ind w:firstLineChars="100" w:firstLine="260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t>참고문헌</w:t>
      </w:r>
    </w:p>
    <w:p w14:paraId="7AD21E78" w14:textId="77777777" w:rsidR="00CB2EE3" w:rsidRPr="007B4251" w:rsidRDefault="00CB2EE3" w:rsidP="00CB2EE3">
      <w:pPr>
        <w:pStyle w:val="2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t>▶ 국내 법령</w:t>
      </w:r>
    </w:p>
    <w:p w14:paraId="69E7E6E4" w14:textId="77777777" w:rsidR="00CB2EE3" w:rsidRPr="007B4251" w:rsidRDefault="00CB2EE3" w:rsidP="00CB2EE3">
      <w:pPr>
        <w:spacing w:before="40" w:after="40" w:line="276" w:lineRule="auto"/>
        <w:ind w:left="360"/>
        <w:jc w:val="both"/>
        <w:rPr>
          <w:rFonts w:asciiTheme="minorEastAsia" w:eastAsiaTheme="minorEastAsia" w:hAnsiTheme="minorEastAsia"/>
          <w:sz w:val="18"/>
          <w:szCs w:val="18"/>
        </w:rPr>
      </w:pPr>
      <w:r w:rsidRPr="007B4251">
        <w:rPr>
          <w:rFonts w:asciiTheme="minorEastAsia" w:eastAsiaTheme="minorEastAsia" w:hAnsiTheme="minorEastAsia"/>
          <w:color w:val="000000"/>
          <w:sz w:val="18"/>
          <w:szCs w:val="18"/>
        </w:rPr>
        <w:t>인공지능 발전과 신뢰 기반 조성 등에 관한 기본법 [법률 제21311호, 2026.1.20., 일부개정], 시행 2026.1.22.</w:t>
      </w:r>
    </w:p>
    <w:p w14:paraId="00919811" w14:textId="77777777" w:rsidR="00CB2EE3" w:rsidRPr="007B4251" w:rsidRDefault="00CB2EE3" w:rsidP="00CB2EE3">
      <w:pPr>
        <w:spacing w:before="40" w:after="40" w:line="276" w:lineRule="auto"/>
        <w:ind w:left="360"/>
        <w:jc w:val="both"/>
        <w:rPr>
          <w:rFonts w:asciiTheme="minorEastAsia" w:eastAsiaTheme="minorEastAsia" w:hAnsiTheme="minorEastAsia"/>
          <w:sz w:val="18"/>
          <w:szCs w:val="18"/>
        </w:rPr>
      </w:pPr>
      <w:r w:rsidRPr="007B4251">
        <w:rPr>
          <w:rFonts w:asciiTheme="minorEastAsia" w:eastAsiaTheme="minorEastAsia" w:hAnsiTheme="minorEastAsia"/>
          <w:color w:val="000000"/>
          <w:sz w:val="18"/>
          <w:szCs w:val="18"/>
        </w:rPr>
        <w:t>인공지능 발전과 신뢰 기반 조성 등에 관한 기본법 시행령 [대통령령 제36053호], 시행 2026.1.22.</w:t>
      </w:r>
    </w:p>
    <w:p w14:paraId="6C83727B" w14:textId="77777777" w:rsidR="00CB2EE3" w:rsidRPr="007B4251" w:rsidRDefault="00CB2EE3" w:rsidP="00CB2EE3">
      <w:pPr>
        <w:spacing w:before="40" w:after="40" w:line="276" w:lineRule="auto"/>
        <w:ind w:left="360"/>
        <w:jc w:val="both"/>
        <w:rPr>
          <w:rFonts w:asciiTheme="minorEastAsia" w:eastAsiaTheme="minorEastAsia" w:hAnsiTheme="minorEastAsia"/>
          <w:sz w:val="18"/>
          <w:szCs w:val="18"/>
        </w:rPr>
      </w:pPr>
      <w:r w:rsidRPr="007B4251">
        <w:rPr>
          <w:rFonts w:asciiTheme="minorEastAsia" w:eastAsiaTheme="minorEastAsia" w:hAnsiTheme="minorEastAsia"/>
          <w:color w:val="000000"/>
          <w:sz w:val="18"/>
          <w:szCs w:val="18"/>
        </w:rPr>
        <w:t>교육공무원법 [법률 제19656호, 2023.8.16.] / 고용보험법 [법률 제19944호, 2024.1.9.] / 신용정보의 이용 및 보호에 관한 법률 [법률 제19840호, 2023.10.31.] / 사회보장급여의 이용·제공 및 수급권자 발굴에 관한 법률 [법률 제19849호, 2023.10.31.]</w:t>
      </w:r>
    </w:p>
    <w:p w14:paraId="09CBBC45" w14:textId="77777777" w:rsidR="00CB2EE3" w:rsidRPr="007B4251" w:rsidRDefault="00CB2EE3" w:rsidP="00CB2EE3">
      <w:pPr>
        <w:pStyle w:val="2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t>▶ 국제 법령</w:t>
      </w:r>
    </w:p>
    <w:p w14:paraId="68024B27" w14:textId="77777777" w:rsidR="00CB2EE3" w:rsidRPr="007B4251" w:rsidRDefault="00CB2EE3" w:rsidP="00CB2EE3">
      <w:pPr>
        <w:spacing w:before="40" w:after="40" w:line="276" w:lineRule="auto"/>
        <w:ind w:left="360"/>
        <w:jc w:val="both"/>
        <w:rPr>
          <w:rFonts w:asciiTheme="minorEastAsia" w:eastAsiaTheme="minorEastAsia" w:hAnsiTheme="minorEastAsia"/>
          <w:sz w:val="18"/>
          <w:szCs w:val="18"/>
        </w:rPr>
      </w:pPr>
      <w:r w:rsidRPr="007B4251">
        <w:rPr>
          <w:rFonts w:asciiTheme="minorEastAsia" w:eastAsiaTheme="minorEastAsia" w:hAnsiTheme="minorEastAsia"/>
          <w:color w:val="000000"/>
          <w:sz w:val="18"/>
          <w:szCs w:val="18"/>
        </w:rPr>
        <w:t>European Parliament and Council. (2024). Regulation (EU) 2024/1689 — Artificial Intelligence Act. Official Journal of the European Union. (발효: 2024.8.1.)</w:t>
      </w:r>
    </w:p>
    <w:p w14:paraId="3B09F7D3" w14:textId="77777777" w:rsidR="00CB2EE3" w:rsidRPr="007B4251" w:rsidRDefault="00CB2EE3" w:rsidP="00CB2EE3">
      <w:pPr>
        <w:pStyle w:val="2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t>▶ 국내 논문·보고서</w:t>
      </w:r>
    </w:p>
    <w:p w14:paraId="08753FA2" w14:textId="77777777" w:rsidR="00CB2EE3" w:rsidRPr="007B4251" w:rsidRDefault="00CB2EE3" w:rsidP="00CB2EE3">
      <w:pPr>
        <w:spacing w:before="40" w:after="40" w:line="276" w:lineRule="auto"/>
        <w:ind w:left="360"/>
        <w:jc w:val="both"/>
        <w:rPr>
          <w:rFonts w:asciiTheme="minorEastAsia" w:eastAsiaTheme="minorEastAsia" w:hAnsiTheme="minorEastAsia"/>
          <w:sz w:val="18"/>
          <w:szCs w:val="18"/>
        </w:rPr>
      </w:pPr>
      <w:r w:rsidRPr="007B4251">
        <w:rPr>
          <w:rFonts w:asciiTheme="minorEastAsia" w:eastAsiaTheme="minorEastAsia" w:hAnsiTheme="minorEastAsia"/>
          <w:color w:val="000000"/>
          <w:sz w:val="18"/>
          <w:szCs w:val="18"/>
        </w:rPr>
        <w:t>라기원. (2024). 유럽연합 인공지능법(EU AI Act)의 특성과 쟁점. 한국법제연구원.</w:t>
      </w:r>
    </w:p>
    <w:p w14:paraId="1516E57F" w14:textId="77777777" w:rsidR="00CB2EE3" w:rsidRPr="007B4251" w:rsidRDefault="00CB2EE3" w:rsidP="00CB2EE3">
      <w:pPr>
        <w:spacing w:before="40" w:after="40" w:line="276" w:lineRule="auto"/>
        <w:ind w:left="360"/>
        <w:jc w:val="both"/>
        <w:rPr>
          <w:rFonts w:asciiTheme="minorEastAsia" w:eastAsiaTheme="minorEastAsia" w:hAnsiTheme="minorEastAsia"/>
          <w:sz w:val="18"/>
          <w:szCs w:val="18"/>
        </w:rPr>
      </w:pPr>
      <w:r w:rsidRPr="007B4251">
        <w:rPr>
          <w:rFonts w:asciiTheme="minorEastAsia" w:eastAsiaTheme="minorEastAsia" w:hAnsiTheme="minorEastAsia"/>
          <w:color w:val="000000"/>
          <w:sz w:val="18"/>
          <w:szCs w:val="18"/>
        </w:rPr>
        <w:t>과학기술정보통신부. (2026). 인공지능 기본계획(2026~2028).</w:t>
      </w:r>
    </w:p>
    <w:p w14:paraId="2A6F0318" w14:textId="77777777" w:rsidR="00CB2EE3" w:rsidRPr="007B4251" w:rsidRDefault="00CB2EE3" w:rsidP="00CB2EE3">
      <w:pPr>
        <w:spacing w:before="40" w:after="40" w:line="276" w:lineRule="auto"/>
        <w:ind w:left="360"/>
        <w:jc w:val="both"/>
        <w:rPr>
          <w:rFonts w:asciiTheme="minorEastAsia" w:eastAsiaTheme="minorEastAsia" w:hAnsiTheme="minorEastAsia"/>
          <w:sz w:val="18"/>
          <w:szCs w:val="18"/>
        </w:rPr>
      </w:pPr>
      <w:r w:rsidRPr="007B4251">
        <w:rPr>
          <w:rFonts w:asciiTheme="minorEastAsia" w:eastAsiaTheme="minorEastAsia" w:hAnsiTheme="minorEastAsia"/>
          <w:color w:val="000000"/>
          <w:sz w:val="18"/>
          <w:szCs w:val="18"/>
        </w:rPr>
        <w:t>한국정보통신기술협회·과학기술정보통신부. (2026.1). 인공지능 투명성 확보 가이드라인.</w:t>
      </w:r>
    </w:p>
    <w:p w14:paraId="7FD66DE8" w14:textId="77777777" w:rsidR="00CB2EE3" w:rsidRPr="007B4251" w:rsidRDefault="00CB2EE3" w:rsidP="00CB2EE3">
      <w:pPr>
        <w:spacing w:before="40" w:after="40" w:line="276" w:lineRule="auto"/>
        <w:ind w:left="360"/>
        <w:jc w:val="both"/>
        <w:rPr>
          <w:rFonts w:asciiTheme="minorEastAsia" w:eastAsiaTheme="minorEastAsia" w:hAnsiTheme="minorEastAsia"/>
          <w:sz w:val="18"/>
          <w:szCs w:val="18"/>
        </w:rPr>
      </w:pPr>
      <w:r w:rsidRPr="007B4251">
        <w:rPr>
          <w:rFonts w:asciiTheme="minorEastAsia" w:eastAsiaTheme="minorEastAsia" w:hAnsiTheme="minorEastAsia"/>
          <w:color w:val="000000"/>
          <w:sz w:val="18"/>
          <w:szCs w:val="18"/>
        </w:rPr>
        <w:t>과학기술정보통신부·한국전자통신연구원. (2026.1). 인공지능 안전성 확보 가이드라인.</w:t>
      </w:r>
    </w:p>
    <w:p w14:paraId="60435457" w14:textId="77777777" w:rsidR="00CB2EE3" w:rsidRPr="007B4251" w:rsidRDefault="00CB2EE3" w:rsidP="00CB2EE3">
      <w:pPr>
        <w:spacing w:before="40" w:after="40" w:line="276" w:lineRule="auto"/>
        <w:ind w:left="360"/>
        <w:jc w:val="both"/>
        <w:rPr>
          <w:rFonts w:asciiTheme="minorEastAsia" w:eastAsiaTheme="minorEastAsia" w:hAnsiTheme="minorEastAsia"/>
          <w:sz w:val="18"/>
          <w:szCs w:val="18"/>
        </w:rPr>
      </w:pPr>
      <w:r w:rsidRPr="007B4251">
        <w:rPr>
          <w:rFonts w:asciiTheme="minorEastAsia" w:eastAsiaTheme="minorEastAsia" w:hAnsiTheme="minorEastAsia"/>
          <w:color w:val="000000"/>
          <w:sz w:val="18"/>
          <w:szCs w:val="18"/>
        </w:rPr>
        <w:t>과학기술정보통신부·한국지능정보화사회진흥원. (2026.1). 고영향 인공지능 판단 가이드라인.</w:t>
      </w:r>
    </w:p>
    <w:p w14:paraId="12077F93" w14:textId="77777777" w:rsidR="00CB2EE3" w:rsidRPr="007B4251" w:rsidRDefault="00CB2EE3" w:rsidP="00CB2EE3">
      <w:pPr>
        <w:pStyle w:val="2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t>▶ 해외 문헌</w:t>
      </w:r>
    </w:p>
    <w:p w14:paraId="44B5E871" w14:textId="77777777" w:rsidR="00CB2EE3" w:rsidRPr="007B4251" w:rsidRDefault="00CB2EE3" w:rsidP="00CB2EE3">
      <w:pPr>
        <w:spacing w:before="40" w:after="40" w:line="276" w:lineRule="auto"/>
        <w:ind w:left="360"/>
        <w:jc w:val="both"/>
        <w:rPr>
          <w:rFonts w:asciiTheme="minorEastAsia" w:eastAsiaTheme="minorEastAsia" w:hAnsiTheme="minorEastAsia"/>
          <w:sz w:val="18"/>
          <w:szCs w:val="18"/>
        </w:rPr>
      </w:pPr>
      <w:r w:rsidRPr="007B4251">
        <w:rPr>
          <w:rFonts w:asciiTheme="minorEastAsia" w:eastAsiaTheme="minorEastAsia" w:hAnsiTheme="minorEastAsia"/>
          <w:color w:val="000000"/>
          <w:sz w:val="18"/>
          <w:szCs w:val="18"/>
        </w:rPr>
        <w:t>Chouldechova, A. (2017). Fair prediction with disparate impact. Big Data, 5(2), 153–163.</w:t>
      </w:r>
    </w:p>
    <w:p w14:paraId="11A3202E" w14:textId="77777777" w:rsidR="00CB2EE3" w:rsidRPr="007B4251" w:rsidRDefault="00CB2EE3" w:rsidP="00CB2EE3">
      <w:pPr>
        <w:spacing w:before="40" w:after="40" w:line="276" w:lineRule="auto"/>
        <w:ind w:left="360"/>
        <w:jc w:val="both"/>
        <w:rPr>
          <w:rFonts w:asciiTheme="minorEastAsia" w:eastAsiaTheme="minorEastAsia" w:hAnsiTheme="minorEastAsia"/>
          <w:sz w:val="18"/>
          <w:szCs w:val="18"/>
        </w:rPr>
      </w:pPr>
      <w:r w:rsidRPr="007B4251">
        <w:rPr>
          <w:rFonts w:asciiTheme="minorEastAsia" w:eastAsiaTheme="minorEastAsia" w:hAnsiTheme="minorEastAsia"/>
          <w:color w:val="000000"/>
          <w:sz w:val="18"/>
          <w:szCs w:val="18"/>
        </w:rPr>
        <w:t>Kleinberg, J., Mullainathan, S., &amp; Raghavan, M. (2016). Inherent trade-offs in the fair determination of risk scores. arXiv:1609.05807.</w:t>
      </w:r>
    </w:p>
    <w:p w14:paraId="3A16321E" w14:textId="77777777" w:rsidR="00CB2EE3" w:rsidRPr="007B4251" w:rsidRDefault="00CB2EE3" w:rsidP="00CB2EE3">
      <w:pPr>
        <w:spacing w:before="40" w:after="40" w:line="276" w:lineRule="auto"/>
        <w:ind w:left="360"/>
        <w:jc w:val="both"/>
        <w:rPr>
          <w:rFonts w:asciiTheme="minorEastAsia" w:eastAsiaTheme="minorEastAsia" w:hAnsiTheme="minorEastAsia"/>
          <w:sz w:val="18"/>
          <w:szCs w:val="18"/>
        </w:rPr>
      </w:pPr>
      <w:r w:rsidRPr="007B4251">
        <w:rPr>
          <w:rFonts w:asciiTheme="minorEastAsia" w:eastAsiaTheme="minorEastAsia" w:hAnsiTheme="minorEastAsia"/>
          <w:color w:val="000000"/>
          <w:sz w:val="18"/>
          <w:szCs w:val="18"/>
        </w:rPr>
        <w:t>Madiega, T. (2024). Artificial intelligence act. European Parliament Briefing: EU Legislation in Progress.</w:t>
      </w:r>
    </w:p>
    <w:p w14:paraId="20BC2BC8" w14:textId="008D8597" w:rsidR="00F4793E" w:rsidRPr="007B4251" w:rsidRDefault="00F4793E">
      <w:pPr>
        <w:rPr>
          <w:rFonts w:asciiTheme="minorEastAsia" w:eastAsiaTheme="minorEastAsia" w:hAnsiTheme="minorEastAsia"/>
        </w:rPr>
      </w:pPr>
    </w:p>
    <w:p w14:paraId="3BB4E9E0" w14:textId="77777777" w:rsidR="00CB2EE3" w:rsidRPr="007B4251" w:rsidRDefault="00CB2EE3">
      <w:pPr>
        <w:rPr>
          <w:rFonts w:asciiTheme="minorEastAsia" w:eastAsiaTheme="minorEastAsia" w:hAnsiTheme="minorEastAsia"/>
        </w:rPr>
      </w:pPr>
    </w:p>
    <w:p w14:paraId="6DE861C2" w14:textId="77777777" w:rsidR="00F4793E" w:rsidRPr="007B4251" w:rsidRDefault="00000000">
      <w:pPr>
        <w:pStyle w:val="1"/>
        <w:shd w:val="clear" w:color="auto" w:fill="1F4E79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t xml:space="preserve">  Ⅰ. 서론</w:t>
      </w:r>
    </w:p>
    <w:p w14:paraId="06FB41F9" w14:textId="77777777" w:rsidR="00F4793E" w:rsidRPr="007B4251" w:rsidRDefault="00000000">
      <w:pPr>
        <w:pStyle w:val="2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t>▶ 1. 연구 배경</w:t>
      </w:r>
    </w:p>
    <w:p w14:paraId="701E8F8C" w14:textId="77777777" w:rsidR="00F4793E" w:rsidRPr="007B4251" w:rsidRDefault="00000000">
      <w:pPr>
        <w:spacing w:before="80" w:after="80" w:line="276" w:lineRule="auto"/>
        <w:jc w:val="both"/>
        <w:rPr>
          <w:rFonts w:asciiTheme="minorEastAsia" w:eastAsiaTheme="minorEastAsia" w:hAnsiTheme="minorEastAsia"/>
          <w:sz w:val="18"/>
          <w:szCs w:val="18"/>
        </w:rPr>
      </w:pPr>
      <w:r w:rsidRPr="007B4251">
        <w:rPr>
          <w:rFonts w:asciiTheme="minorEastAsia" w:eastAsiaTheme="minorEastAsia" w:hAnsiTheme="minorEastAsia"/>
          <w:color w:val="000000"/>
          <w:sz w:val="18"/>
          <w:szCs w:val="18"/>
        </w:rPr>
        <w:t>2024년 8월 1일 발효된 EU AI Act(Regulation (EU) 2024/1689)는 세계 최초의 포괄적 AI 규제 법안으로, 위험 기반 접근법(risk-based approach)을 통해 AI 시스템을 4단계로 분류한다. 교육·채용·금융·복지 등 공공·사회적 결정 영역 AI를 '고위험'으로 지정하여 적합성 평가, 데이터 거버넌스, 인간 감독 등 의무를 부과한다.</w:t>
      </w:r>
    </w:p>
    <w:p w14:paraId="5F75E080" w14:textId="77777777" w:rsidR="00F4793E" w:rsidRPr="007B4251" w:rsidRDefault="00000000">
      <w:pPr>
        <w:spacing w:before="80" w:after="80" w:line="276" w:lineRule="auto"/>
        <w:jc w:val="both"/>
        <w:rPr>
          <w:rFonts w:asciiTheme="minorEastAsia" w:eastAsiaTheme="minorEastAsia" w:hAnsiTheme="minorEastAsia"/>
          <w:sz w:val="18"/>
          <w:szCs w:val="18"/>
        </w:rPr>
      </w:pPr>
      <w:r w:rsidRPr="007B4251">
        <w:rPr>
          <w:rFonts w:asciiTheme="minorEastAsia" w:eastAsiaTheme="minorEastAsia" w:hAnsiTheme="minorEastAsia"/>
          <w:color w:val="000000"/>
          <w:sz w:val="18"/>
          <w:szCs w:val="18"/>
        </w:rPr>
        <w:t>한국은 2024년 12월 「인공지능 발전과 신뢰 기반 조성 등에 관한 기본법」(이하 AI기본법)을 재석 264명 중 찬성 260명으로 통과시켜 2026년 1월 22일 시행하였다. 채용·대출 심사·교육평가 등을 '고영향 AI'(제2조 제4호)로 지정하나, 규제 강도·제재·보호 철학에서 EU와 본질적 차이를 보인다.</w:t>
      </w:r>
    </w:p>
    <w:p w14:paraId="4832650B" w14:textId="77777777" w:rsidR="00F4793E" w:rsidRPr="007B4251" w:rsidRDefault="00000000">
      <w:pPr>
        <w:pStyle w:val="2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t>▶ 2. EU AI Act vs 한국 AI기본법 핵심 비교</w:t>
      </w:r>
    </w:p>
    <w:p w14:paraId="505B28F8" w14:textId="77777777" w:rsidR="00F4793E" w:rsidRPr="007B4251" w:rsidRDefault="00F4793E">
      <w:pPr>
        <w:spacing w:before="30" w:after="30"/>
        <w:rPr>
          <w:rFonts w:asciiTheme="minorEastAsia" w:eastAsia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3685"/>
        <w:gridCol w:w="3691"/>
      </w:tblGrid>
      <w:tr w:rsidR="00F4793E" w:rsidRPr="007B4251" w14:paraId="4934F1AA" w14:textId="77777777" w:rsidTr="0092666C">
        <w:trPr>
          <w:tblHeader/>
        </w:trPr>
        <w:tc>
          <w:tcPr>
            <w:tcW w:w="1984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F80FE" w14:textId="77777777" w:rsidR="00F4793E" w:rsidRPr="007B4251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b/>
                <w:bCs/>
                <w:color w:val="FFFFFF"/>
                <w:sz w:val="18"/>
                <w:szCs w:val="18"/>
              </w:rPr>
              <w:t>구  분</w:t>
            </w:r>
          </w:p>
        </w:tc>
        <w:tc>
          <w:tcPr>
            <w:tcW w:w="368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47461" w14:textId="77777777" w:rsidR="00F4793E" w:rsidRPr="007B4251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b/>
                <w:bCs/>
                <w:color w:val="FFFFFF"/>
                <w:sz w:val="18"/>
                <w:szCs w:val="18"/>
              </w:rPr>
              <w:t>EU AI Act</w:t>
            </w:r>
          </w:p>
        </w:tc>
        <w:tc>
          <w:tcPr>
            <w:tcW w:w="3691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17A7E" w14:textId="77777777" w:rsidR="00F4793E" w:rsidRPr="007B4251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b/>
                <w:bCs/>
                <w:color w:val="FFFFFF"/>
                <w:sz w:val="18"/>
                <w:szCs w:val="18"/>
              </w:rPr>
              <w:t>한국 AI기본법</w:t>
            </w:r>
          </w:p>
        </w:tc>
      </w:tr>
      <w:tr w:rsidR="00F4793E" w:rsidRPr="007B4251" w14:paraId="4EE4CA3D" w14:textId="77777777" w:rsidTr="0092666C">
        <w:tc>
          <w:tcPr>
            <w:tcW w:w="198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27E1F3" w14:textId="77777777" w:rsidR="00F4793E" w:rsidRPr="007B4251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b/>
                <w:bCs/>
                <w:color w:val="1F4E79"/>
                <w:sz w:val="18"/>
                <w:szCs w:val="18"/>
              </w:rPr>
              <w:t>위험 분류</w:t>
            </w:r>
          </w:p>
        </w:tc>
        <w:tc>
          <w:tcPr>
            <w:tcW w:w="36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13DCEE" w14:textId="77777777" w:rsidR="00F4793E" w:rsidRPr="007B4251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4단계: 허용불가·고위험·제한·최소</w:t>
            </w:r>
          </w:p>
        </w:tc>
        <w:tc>
          <w:tcPr>
            <w:tcW w:w="369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F4C08" w14:textId="77777777" w:rsidR="00F4793E" w:rsidRPr="007B4251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2단계: 고영향 / 일반 + 생성형 별도</w:t>
            </w:r>
          </w:p>
        </w:tc>
      </w:tr>
      <w:tr w:rsidR="00F4793E" w:rsidRPr="007B4251" w14:paraId="01B799FB" w14:textId="77777777" w:rsidTr="0092666C">
        <w:tc>
          <w:tcPr>
            <w:tcW w:w="198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2F5F67" w14:textId="77777777" w:rsidR="00F4793E" w:rsidRPr="007B4251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b/>
                <w:bCs/>
                <w:color w:val="1F4E79"/>
                <w:sz w:val="18"/>
                <w:szCs w:val="18"/>
              </w:rPr>
              <w:t>고위험 분야</w:t>
            </w:r>
          </w:p>
        </w:tc>
        <w:tc>
          <w:tcPr>
            <w:tcW w:w="36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BB2B5" w14:textId="77777777" w:rsidR="00F4793E" w:rsidRPr="007B4251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교육·채용·금융·법집행 등 8개 영역</w:t>
            </w:r>
          </w:p>
        </w:tc>
        <w:tc>
          <w:tcPr>
            <w:tcW w:w="369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39DC0" w14:textId="77777777" w:rsidR="00F4793E" w:rsidRPr="007B4251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채용·대출·교육·공공서비스 등 10개+ 영역</w:t>
            </w:r>
          </w:p>
        </w:tc>
      </w:tr>
      <w:tr w:rsidR="00F4793E" w:rsidRPr="007B4251" w14:paraId="696AFE30" w14:textId="77777777" w:rsidTr="0092666C">
        <w:tc>
          <w:tcPr>
            <w:tcW w:w="198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AF3BE" w14:textId="77777777" w:rsidR="00F4793E" w:rsidRPr="007B4251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b/>
                <w:bCs/>
                <w:color w:val="1F4E79"/>
                <w:sz w:val="18"/>
                <w:szCs w:val="18"/>
              </w:rPr>
              <w:t>핵심 의무</w:t>
            </w:r>
          </w:p>
        </w:tc>
        <w:tc>
          <w:tcPr>
            <w:tcW w:w="36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85BDC2" w14:textId="77777777" w:rsidR="00F4793E" w:rsidRPr="007B4251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적합성 평가·CE마킹·EU DB 등록</w:t>
            </w:r>
          </w:p>
        </w:tc>
        <w:tc>
          <w:tcPr>
            <w:tcW w:w="369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D7E16" w14:textId="77777777" w:rsidR="00F4793E" w:rsidRPr="007B4251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위험관리·설명방안·영향평가(노력)</w:t>
            </w:r>
          </w:p>
        </w:tc>
      </w:tr>
      <w:tr w:rsidR="00F4793E" w:rsidRPr="007B4251" w14:paraId="5F13D63E" w14:textId="77777777" w:rsidTr="0092666C">
        <w:tc>
          <w:tcPr>
            <w:tcW w:w="198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6735E" w14:textId="77777777" w:rsidR="00F4793E" w:rsidRPr="007B4251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b/>
                <w:bCs/>
                <w:color w:val="1F4E79"/>
                <w:sz w:val="18"/>
                <w:szCs w:val="18"/>
              </w:rPr>
              <w:t>제재 수준</w:t>
            </w:r>
          </w:p>
        </w:tc>
        <w:tc>
          <w:tcPr>
            <w:tcW w:w="36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4C79F" w14:textId="77777777" w:rsidR="00F4793E" w:rsidRPr="007B4251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글로벌 매출 최대 7% 또는 3,500만 유로</w:t>
            </w:r>
          </w:p>
        </w:tc>
        <w:tc>
          <w:tcPr>
            <w:tcW w:w="369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8AFCDF" w14:textId="77777777" w:rsidR="00F4793E" w:rsidRPr="007B4251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최대 3,000만 원 과태료</w:t>
            </w:r>
          </w:p>
        </w:tc>
      </w:tr>
      <w:tr w:rsidR="00F4793E" w:rsidRPr="007B4251" w14:paraId="0E06193F" w14:textId="77777777" w:rsidTr="0092666C">
        <w:tc>
          <w:tcPr>
            <w:tcW w:w="198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F038F" w14:textId="77777777" w:rsidR="00F4793E" w:rsidRPr="007B4251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b/>
                <w:bCs/>
                <w:color w:val="1F4E79"/>
                <w:sz w:val="18"/>
                <w:szCs w:val="18"/>
              </w:rPr>
              <w:t>규제 철학</w:t>
            </w:r>
          </w:p>
        </w:tc>
        <w:tc>
          <w:tcPr>
            <w:tcW w:w="36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8422B" w14:textId="77777777" w:rsidR="00F4793E" w:rsidRPr="007B4251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기본권 보호 중심, 사전 금지 규정 有</w:t>
            </w:r>
          </w:p>
        </w:tc>
        <w:tc>
          <w:tcPr>
            <w:tcW w:w="369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DF2E74" w14:textId="77777777" w:rsidR="00F4793E" w:rsidRPr="007B4251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진흥·혁신 균형, 산업 친화적 접근</w:t>
            </w:r>
          </w:p>
        </w:tc>
      </w:tr>
      <w:tr w:rsidR="00F4793E" w:rsidRPr="007B4251" w14:paraId="50EFFF2C" w14:textId="77777777" w:rsidTr="0092666C">
        <w:tc>
          <w:tcPr>
            <w:tcW w:w="198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03382B" w14:textId="77777777" w:rsidR="00F4793E" w:rsidRPr="007B4251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b/>
                <w:bCs/>
                <w:color w:val="1F4E79"/>
                <w:sz w:val="18"/>
                <w:szCs w:val="18"/>
              </w:rPr>
              <w:t>시행 시점</w:t>
            </w:r>
          </w:p>
        </w:tc>
        <w:tc>
          <w:tcPr>
            <w:tcW w:w="36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E7886" w14:textId="77777777" w:rsidR="00F4793E" w:rsidRPr="007B4251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2026.8. 고위험 규정 전면 적용</w:t>
            </w:r>
          </w:p>
        </w:tc>
        <w:tc>
          <w:tcPr>
            <w:tcW w:w="369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B2A1A5" w14:textId="77777777" w:rsidR="00F4793E" w:rsidRPr="007B4251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2026.1.22. 전면 시행 (1년 계도)</w:t>
            </w:r>
          </w:p>
        </w:tc>
      </w:tr>
    </w:tbl>
    <w:p w14:paraId="221D18B9" w14:textId="77777777" w:rsidR="00F4793E" w:rsidRPr="007B4251" w:rsidRDefault="00F4793E">
      <w:pPr>
        <w:spacing w:before="30" w:after="30"/>
        <w:rPr>
          <w:rFonts w:asciiTheme="minorEastAsia" w:eastAsiaTheme="minorEastAsia" w:hAnsiTheme="minorEastAsia"/>
        </w:rPr>
      </w:pPr>
    </w:p>
    <w:p w14:paraId="514A2D99" w14:textId="77777777" w:rsidR="00F4793E" w:rsidRPr="007B4251" w:rsidRDefault="00000000">
      <w:pPr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br w:type="page"/>
      </w:r>
    </w:p>
    <w:p w14:paraId="25C42FDC" w14:textId="1810D773" w:rsidR="00F4793E" w:rsidRPr="007B4251" w:rsidRDefault="00000000">
      <w:pPr>
        <w:pStyle w:val="1"/>
        <w:shd w:val="clear" w:color="auto" w:fill="1F4E79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lastRenderedPageBreak/>
        <w:t xml:space="preserve">  Ⅱ. 본론 1 — 교육·채용·복지·금융 분야 EU식 </w:t>
      </w:r>
      <w:r w:rsidR="00A371DB">
        <w:rPr>
          <w:rFonts w:asciiTheme="minorEastAsia" w:eastAsiaTheme="minorEastAsia" w:hAnsiTheme="minorEastAsia" w:hint="eastAsia"/>
        </w:rPr>
        <w:t xml:space="preserve">고위험 </w:t>
      </w:r>
      <w:r w:rsidRPr="007B4251">
        <w:rPr>
          <w:rFonts w:asciiTheme="minorEastAsia" w:eastAsiaTheme="minorEastAsia" w:hAnsiTheme="minorEastAsia"/>
        </w:rPr>
        <w:t>규제 도입</w:t>
      </w:r>
      <w:r w:rsidR="00A371DB">
        <w:rPr>
          <w:rFonts w:asciiTheme="minorEastAsia" w:eastAsiaTheme="minorEastAsia" w:hAnsiTheme="minorEastAsia" w:hint="eastAsia"/>
        </w:rPr>
        <w:t>시</w:t>
      </w:r>
      <w:r w:rsidRPr="007B4251">
        <w:rPr>
          <w:rFonts w:asciiTheme="minorEastAsia" w:eastAsiaTheme="minorEastAsia" w:hAnsiTheme="minorEastAsia"/>
        </w:rPr>
        <w:t xml:space="preserve"> 영향</w:t>
      </w:r>
    </w:p>
    <w:p w14:paraId="726CC643" w14:textId="47195253" w:rsidR="00F4793E" w:rsidRPr="007B4251" w:rsidRDefault="00000000">
      <w:pPr>
        <w:pStyle w:val="2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t>▶ 1. EU AI법 고위험 분류 기준</w:t>
      </w:r>
    </w:p>
    <w:p w14:paraId="51FEF326" w14:textId="77777777" w:rsidR="00F4793E" w:rsidRPr="007B4251" w:rsidRDefault="00000000">
      <w:pPr>
        <w:spacing w:before="80" w:after="80" w:line="276" w:lineRule="auto"/>
        <w:jc w:val="both"/>
        <w:rPr>
          <w:rFonts w:asciiTheme="minorEastAsia" w:eastAsiaTheme="minorEastAsia" w:hAnsiTheme="minorEastAsia"/>
          <w:sz w:val="18"/>
          <w:szCs w:val="18"/>
        </w:rPr>
      </w:pPr>
      <w:r w:rsidRPr="007B4251">
        <w:rPr>
          <w:rFonts w:asciiTheme="minorEastAsia" w:eastAsiaTheme="minorEastAsia" w:hAnsiTheme="minorEastAsia"/>
          <w:color w:val="000000"/>
          <w:sz w:val="18"/>
          <w:szCs w:val="18"/>
        </w:rPr>
        <w:t>교육 평가, 채용 결정, 신용 평가, 복지 수급 결정 AI는 고위험으로 지정. 위험관리 시스템·데이터 거버넌스·인간 감독·기술 문서화·적합성 평가·CE 마킹·EU DB 등록의 7중 의무 부담.</w:t>
      </w:r>
    </w:p>
    <w:p w14:paraId="3CC2C78E" w14:textId="77777777" w:rsidR="00F4793E" w:rsidRPr="007B4251" w:rsidRDefault="00000000">
      <w:pPr>
        <w:pStyle w:val="2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t>▶ 2. 분야별 영향</w:t>
      </w:r>
    </w:p>
    <w:p w14:paraId="176E68C2" w14:textId="77777777" w:rsidR="00F4793E" w:rsidRPr="007B4251" w:rsidRDefault="00F4793E">
      <w:pPr>
        <w:spacing w:before="20" w:after="20"/>
        <w:rPr>
          <w:rFonts w:asciiTheme="minorEastAsia" w:eastAsia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F4793E" w:rsidRPr="007B4251" w14:paraId="66718C9B" w14:textId="77777777">
        <w:trPr>
          <w:tblHeader/>
        </w:trPr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5899C" w14:textId="77777777" w:rsidR="00F4793E" w:rsidRPr="007B4251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b/>
                <w:bCs/>
                <w:color w:val="FFFFFF"/>
                <w:sz w:val="18"/>
                <w:szCs w:val="18"/>
              </w:rPr>
              <w:t>분  야</w:t>
            </w:r>
          </w:p>
        </w:tc>
        <w:tc>
          <w:tcPr>
            <w:tcW w:w="37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CE2D1" w14:textId="77777777" w:rsidR="00F4793E" w:rsidRPr="007B4251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b/>
                <w:bCs/>
                <w:color w:val="FFFFFF"/>
                <w:sz w:val="18"/>
                <w:szCs w:val="18"/>
              </w:rPr>
              <w:t>EU 규제 도입 시 주요 영향</w:t>
            </w:r>
          </w:p>
        </w:tc>
        <w:tc>
          <w:tcPr>
            <w:tcW w:w="37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627CB" w14:textId="77777777" w:rsidR="00F4793E" w:rsidRPr="007B4251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b/>
                <w:bCs/>
                <w:color w:val="FFFFFF"/>
                <w:sz w:val="18"/>
                <w:szCs w:val="18"/>
              </w:rPr>
              <w:t>현황 및 규모</w:t>
            </w:r>
          </w:p>
        </w:tc>
      </w:tr>
      <w:tr w:rsidR="00F4793E" w:rsidRPr="007B4251" w14:paraId="03F8372B" w14:textId="77777777"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C0BCC" w14:textId="77777777" w:rsidR="00F4793E" w:rsidRPr="007B4251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b/>
                <w:bCs/>
                <w:color w:val="1F4E79"/>
                <w:sz w:val="18"/>
                <w:szCs w:val="18"/>
              </w:rPr>
              <w:t>교  육</w:t>
            </w:r>
          </w:p>
        </w:tc>
        <w:tc>
          <w:tcPr>
            <w:tcW w:w="37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CD63C2" w14:textId="77777777" w:rsidR="00F4793E" w:rsidRPr="007B4251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AI 튜터링·학생평가 시스템 사전 적합성 평가 의무화. 알고리즘 결정 설명권 보장 필요.</w:t>
            </w:r>
          </w:p>
        </w:tc>
        <w:tc>
          <w:tcPr>
            <w:tcW w:w="37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8CA5E" w14:textId="77777777" w:rsidR="00F4793E" w:rsidRPr="007B4251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국내 에듀테크 시장 약 5조 원(2023)</w:t>
            </w:r>
          </w:p>
        </w:tc>
      </w:tr>
      <w:tr w:rsidR="00F4793E" w:rsidRPr="007B4251" w14:paraId="783EDB25" w14:textId="77777777"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6916E1" w14:textId="77777777" w:rsidR="00F4793E" w:rsidRPr="007B4251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b/>
                <w:bCs/>
                <w:color w:val="1F4E79"/>
                <w:sz w:val="18"/>
                <w:szCs w:val="18"/>
              </w:rPr>
              <w:t>채  용</w:t>
            </w:r>
          </w:p>
        </w:tc>
        <w:tc>
          <w:tcPr>
            <w:tcW w:w="37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9FA0AA" w14:textId="77777777" w:rsidR="00F4793E" w:rsidRPr="007B4251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이력서 필터링·면접 AI 전면 재설계. 인간 감독 의무·편향 검증 법제화.</w:t>
            </w:r>
          </w:p>
        </w:tc>
        <w:tc>
          <w:tcPr>
            <w:tcW w:w="37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354F4" w14:textId="77777777" w:rsidR="00F4793E" w:rsidRPr="007B4251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대기업 60%+ AI 채용 활용(2024)</w:t>
            </w:r>
          </w:p>
        </w:tc>
      </w:tr>
      <w:tr w:rsidR="00F4793E" w:rsidRPr="007B4251" w14:paraId="046F70EB" w14:textId="77777777"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6A17B9" w14:textId="77777777" w:rsidR="00F4793E" w:rsidRPr="007B4251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b/>
                <w:bCs/>
                <w:color w:val="1F4E79"/>
                <w:sz w:val="18"/>
                <w:szCs w:val="18"/>
              </w:rPr>
              <w:t>복  지</w:t>
            </w:r>
          </w:p>
        </w:tc>
        <w:tc>
          <w:tcPr>
            <w:tcW w:w="37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CE2A8" w14:textId="77777777" w:rsidR="00F4793E" w:rsidRPr="007B4251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수급 자격 결정 AI 적합성 평가 필요. 지자체 재정 부담 증가.</w:t>
            </w:r>
          </w:p>
        </w:tc>
        <w:tc>
          <w:tcPr>
            <w:tcW w:w="37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027B0" w14:textId="77777777" w:rsidR="00F4793E" w:rsidRPr="007B4251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복지 AI 도입 지자체 급증 추세</w:t>
            </w:r>
          </w:p>
        </w:tc>
      </w:tr>
      <w:tr w:rsidR="00F4793E" w:rsidRPr="007B4251" w14:paraId="66F9EFF0" w14:textId="77777777"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BA304" w14:textId="77777777" w:rsidR="00F4793E" w:rsidRPr="007B4251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b/>
                <w:bCs/>
                <w:color w:val="1F4E79"/>
                <w:sz w:val="18"/>
                <w:szCs w:val="18"/>
              </w:rPr>
              <w:t>금  융</w:t>
            </w:r>
          </w:p>
        </w:tc>
        <w:tc>
          <w:tcPr>
            <w:tcW w:w="37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99A68" w14:textId="77777777" w:rsidR="00F4793E" w:rsidRPr="007B4251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대출 심사·신용평가 XAI 의무화. 정기 모델 감사 필요.</w:t>
            </w:r>
          </w:p>
        </w:tc>
        <w:tc>
          <w:tcPr>
            <w:tcW w:w="37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656C55" w14:textId="77777777" w:rsidR="00F4793E" w:rsidRPr="007B4251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425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글로벌 AI 시장 2030년 1.58조 달러 전망</w:t>
            </w:r>
          </w:p>
        </w:tc>
      </w:tr>
    </w:tbl>
    <w:p w14:paraId="1D76BC28" w14:textId="77777777" w:rsidR="00F4793E" w:rsidRPr="000C6268" w:rsidRDefault="00F4793E">
      <w:pPr>
        <w:spacing w:before="30" w:after="30"/>
        <w:rPr>
          <w:rFonts w:asciiTheme="minorEastAsia" w:eastAsiaTheme="minorEastAsia" w:hAnsiTheme="minorEastAsia"/>
          <w:sz w:val="18"/>
          <w:szCs w:val="18"/>
        </w:rPr>
      </w:pPr>
    </w:p>
    <w:p w14:paraId="6F1D0892" w14:textId="77777777" w:rsidR="00F4793E" w:rsidRPr="000C6268" w:rsidRDefault="00000000">
      <w:pPr>
        <w:spacing w:before="60" w:after="60" w:line="276" w:lineRule="auto"/>
        <w:jc w:val="both"/>
        <w:rPr>
          <w:rFonts w:asciiTheme="minorEastAsia" w:eastAsiaTheme="minorEastAsia" w:hAnsiTheme="minorEastAsia"/>
          <w:sz w:val="18"/>
          <w:szCs w:val="18"/>
        </w:rPr>
      </w:pPr>
      <w:r w:rsidRPr="000C6268">
        <w:rPr>
          <w:rFonts w:asciiTheme="minorEastAsia" w:eastAsiaTheme="minorEastAsia" w:hAnsiTheme="minorEastAsia"/>
          <w:b/>
          <w:bCs/>
          <w:color w:val="1F4E79"/>
          <w:sz w:val="18"/>
          <w:szCs w:val="18"/>
        </w:rPr>
        <w:t xml:space="preserve">시사점: </w:t>
      </w:r>
      <w:r w:rsidRPr="000C6268">
        <w:rPr>
          <w:rFonts w:asciiTheme="minorEastAsia" w:eastAsiaTheme="minorEastAsia" w:hAnsiTheme="minorEastAsia"/>
          <w:color w:val="000000"/>
          <w:sz w:val="18"/>
          <w:szCs w:val="18"/>
        </w:rPr>
        <w:t>단기적 규제 준수 비용 증가 불가피하나, 중장기적으로 AI 결정의 사회적 신뢰 구축 및 글로벌 표준 적합성 확보라는 편익 창출.</w:t>
      </w:r>
    </w:p>
    <w:p w14:paraId="47DEB22A" w14:textId="77777777" w:rsidR="00F4793E" w:rsidRPr="007B4251" w:rsidRDefault="00000000">
      <w:pPr>
        <w:pStyle w:val="1"/>
        <w:shd w:val="clear" w:color="auto" w:fill="1F4E79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t xml:space="preserve">  Ⅱ. 본론 2 — 기존 한국 법령과의 충돌 분석</w:t>
      </w:r>
    </w:p>
    <w:p w14:paraId="4565C91A" w14:textId="77777777" w:rsidR="00F4793E" w:rsidRPr="007B4251" w:rsidRDefault="00000000">
      <w:pPr>
        <w:pStyle w:val="2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t>▶ 1. 교육 분야: 교육공무원법·초중등교육법</w:t>
      </w:r>
    </w:p>
    <w:p w14:paraId="6CE0CE19" w14:textId="77777777" w:rsidR="00F4793E" w:rsidRPr="000C6268" w:rsidRDefault="00000000">
      <w:pPr>
        <w:pStyle w:val="a4"/>
        <w:numPr>
          <w:ilvl w:val="0"/>
          <w:numId w:val="2"/>
        </w:numPr>
        <w:spacing w:before="40" w:after="40" w:line="260" w:lineRule="auto"/>
        <w:rPr>
          <w:rFonts w:asciiTheme="minorEastAsia" w:eastAsiaTheme="minorEastAsia" w:hAnsiTheme="minorEastAsia"/>
          <w:sz w:val="18"/>
          <w:szCs w:val="18"/>
        </w:rPr>
      </w:pPr>
      <w:r w:rsidRPr="000C6268">
        <w:rPr>
          <w:rFonts w:asciiTheme="minorEastAsia" w:eastAsiaTheme="minorEastAsia" w:hAnsiTheme="minorEastAsia"/>
          <w:color w:val="000000"/>
          <w:sz w:val="18"/>
          <w:szCs w:val="18"/>
        </w:rPr>
        <w:t>AI기본법 제2조 제4호 차목: 유아·초·중등교육 학생 평가 → 고영향 AI 지정</w:t>
      </w:r>
    </w:p>
    <w:p w14:paraId="074F8541" w14:textId="77777777" w:rsidR="00F4793E" w:rsidRPr="000C6268" w:rsidRDefault="00000000">
      <w:pPr>
        <w:pStyle w:val="a4"/>
        <w:numPr>
          <w:ilvl w:val="0"/>
          <w:numId w:val="2"/>
        </w:numPr>
        <w:spacing w:before="40" w:after="40" w:line="260" w:lineRule="auto"/>
        <w:rPr>
          <w:rFonts w:asciiTheme="minorEastAsia" w:eastAsiaTheme="minorEastAsia" w:hAnsiTheme="minorEastAsia"/>
          <w:sz w:val="18"/>
          <w:szCs w:val="18"/>
        </w:rPr>
      </w:pPr>
      <w:r w:rsidRPr="000C6268">
        <w:rPr>
          <w:rFonts w:asciiTheme="minorEastAsia" w:eastAsiaTheme="minorEastAsia" w:hAnsiTheme="minorEastAsia"/>
          <w:color w:val="000000"/>
          <w:sz w:val="18"/>
          <w:szCs w:val="18"/>
        </w:rPr>
        <w:t>교육공무원법 제19조·제44조: 교육평가 주체를 '교원'으로 규정 → AI가 실질적 평가 주체 시 법적 충돌</w:t>
      </w:r>
    </w:p>
    <w:p w14:paraId="10B7BEF2" w14:textId="77777777" w:rsidR="00F4793E" w:rsidRPr="000C6268" w:rsidRDefault="00000000">
      <w:pPr>
        <w:pStyle w:val="a4"/>
        <w:numPr>
          <w:ilvl w:val="0"/>
          <w:numId w:val="2"/>
        </w:numPr>
        <w:spacing w:before="40" w:after="40" w:line="260" w:lineRule="auto"/>
        <w:rPr>
          <w:rFonts w:asciiTheme="minorEastAsia" w:eastAsiaTheme="minorEastAsia" w:hAnsiTheme="minorEastAsia"/>
          <w:sz w:val="18"/>
          <w:szCs w:val="18"/>
        </w:rPr>
      </w:pPr>
      <w:r w:rsidRPr="000C6268">
        <w:rPr>
          <w:rFonts w:asciiTheme="minorEastAsia" w:eastAsiaTheme="minorEastAsia" w:hAnsiTheme="minorEastAsia"/>
          <w:color w:val="000000"/>
          <w:sz w:val="18"/>
          <w:szCs w:val="18"/>
        </w:rPr>
        <w:t>초중등교육법 제25조: 생활기록부 기재는 교원의 직접 관찰·평가 결과 → AI 생성 평가 기재 근거 부재</w:t>
      </w:r>
    </w:p>
    <w:p w14:paraId="74250375" w14:textId="77777777" w:rsidR="00F4793E" w:rsidRPr="007B4251" w:rsidRDefault="00000000">
      <w:pPr>
        <w:pStyle w:val="2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t>▶ 2. 채용 분야: 고용보험법·채용절차법</w:t>
      </w:r>
    </w:p>
    <w:p w14:paraId="4B028C86" w14:textId="77777777" w:rsidR="00F4793E" w:rsidRPr="000C6268" w:rsidRDefault="00000000">
      <w:pPr>
        <w:pStyle w:val="a4"/>
        <w:numPr>
          <w:ilvl w:val="0"/>
          <w:numId w:val="2"/>
        </w:numPr>
        <w:spacing w:before="40" w:after="40" w:line="260" w:lineRule="auto"/>
        <w:rPr>
          <w:rFonts w:asciiTheme="minorEastAsia" w:eastAsiaTheme="minorEastAsia" w:hAnsiTheme="minorEastAsia"/>
          <w:sz w:val="18"/>
          <w:szCs w:val="18"/>
        </w:rPr>
      </w:pPr>
      <w:r w:rsidRPr="000C6268">
        <w:rPr>
          <w:rFonts w:asciiTheme="minorEastAsia" w:eastAsiaTheme="minorEastAsia" w:hAnsiTheme="minorEastAsia"/>
          <w:color w:val="000000"/>
          <w:sz w:val="18"/>
          <w:szCs w:val="18"/>
        </w:rPr>
        <w:t>고용보험법 시행령 제19조: 직업능력평가 주체 = 직업상담사 → AI 대체·보조 시 업무 주체 충돌</w:t>
      </w:r>
    </w:p>
    <w:p w14:paraId="3BD5D59C" w14:textId="77777777" w:rsidR="00F4793E" w:rsidRPr="000C6268" w:rsidRDefault="00000000">
      <w:pPr>
        <w:pStyle w:val="a4"/>
        <w:numPr>
          <w:ilvl w:val="0"/>
          <w:numId w:val="2"/>
        </w:numPr>
        <w:spacing w:before="40" w:after="40" w:line="260" w:lineRule="auto"/>
        <w:rPr>
          <w:rFonts w:asciiTheme="minorEastAsia" w:eastAsiaTheme="minorEastAsia" w:hAnsiTheme="minorEastAsia"/>
          <w:sz w:val="18"/>
          <w:szCs w:val="18"/>
        </w:rPr>
      </w:pPr>
      <w:r w:rsidRPr="000C6268">
        <w:rPr>
          <w:rFonts w:asciiTheme="minorEastAsia" w:eastAsiaTheme="minorEastAsia" w:hAnsiTheme="minorEastAsia"/>
          <w:color w:val="000000"/>
          <w:sz w:val="18"/>
          <w:szCs w:val="18"/>
        </w:rPr>
        <w:t>채용절차법: 차별 금지·정보 공개 의무 있으나 AI 편향 검증·인간 감독 구체 기준 부재 → 규제 공백</w:t>
      </w:r>
    </w:p>
    <w:p w14:paraId="15708EDA" w14:textId="77777777" w:rsidR="00F4793E" w:rsidRPr="007B4251" w:rsidRDefault="00000000">
      <w:pPr>
        <w:pStyle w:val="2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t>▶ 3. 금융·복지 분야: 신용정보법·사회보장급여법</w:t>
      </w:r>
    </w:p>
    <w:p w14:paraId="1A24F81F" w14:textId="77777777" w:rsidR="00F4793E" w:rsidRPr="000C6268" w:rsidRDefault="00000000">
      <w:pPr>
        <w:pStyle w:val="a4"/>
        <w:numPr>
          <w:ilvl w:val="0"/>
          <w:numId w:val="2"/>
        </w:numPr>
        <w:spacing w:before="40" w:after="40" w:line="260" w:lineRule="auto"/>
        <w:rPr>
          <w:rFonts w:asciiTheme="minorEastAsia" w:eastAsiaTheme="minorEastAsia" w:hAnsiTheme="minorEastAsia"/>
          <w:sz w:val="18"/>
          <w:szCs w:val="18"/>
        </w:rPr>
      </w:pPr>
      <w:r w:rsidRPr="000C6268">
        <w:rPr>
          <w:rFonts w:asciiTheme="minorEastAsia" w:eastAsiaTheme="minorEastAsia" w:hAnsiTheme="minorEastAsia"/>
          <w:color w:val="000000"/>
          <w:sz w:val="18"/>
          <w:szCs w:val="18"/>
        </w:rPr>
        <w:t>신용정보법 제35조의2: 자동화 평가 설명의무 → AI기본법 시행령 별표1: 준수 시 AI기본법 의무 이행으로 간주(연계 특칙)</w:t>
      </w:r>
    </w:p>
    <w:p w14:paraId="174F7636" w14:textId="77777777" w:rsidR="00F4793E" w:rsidRPr="000C6268" w:rsidRDefault="00000000">
      <w:pPr>
        <w:pStyle w:val="a4"/>
        <w:numPr>
          <w:ilvl w:val="0"/>
          <w:numId w:val="2"/>
        </w:numPr>
        <w:spacing w:before="40" w:after="40" w:line="260" w:lineRule="auto"/>
        <w:rPr>
          <w:rFonts w:asciiTheme="minorEastAsia" w:eastAsiaTheme="minorEastAsia" w:hAnsiTheme="minorEastAsia"/>
          <w:sz w:val="18"/>
          <w:szCs w:val="18"/>
        </w:rPr>
      </w:pPr>
      <w:r w:rsidRPr="000C6268">
        <w:rPr>
          <w:rFonts w:asciiTheme="minorEastAsia" w:eastAsiaTheme="minorEastAsia" w:hAnsiTheme="minorEastAsia"/>
          <w:color w:val="000000"/>
          <w:sz w:val="18"/>
          <w:szCs w:val="18"/>
        </w:rPr>
        <w:t>단, 보험·투자 분야는 연계 규정 없음 → 규제 공백 잔존</w:t>
      </w:r>
    </w:p>
    <w:p w14:paraId="5E76AAE4" w14:textId="77777777" w:rsidR="00F4793E" w:rsidRPr="000C6268" w:rsidRDefault="00000000">
      <w:pPr>
        <w:pStyle w:val="a4"/>
        <w:numPr>
          <w:ilvl w:val="0"/>
          <w:numId w:val="2"/>
        </w:numPr>
        <w:spacing w:before="40" w:after="40" w:line="260" w:lineRule="auto"/>
        <w:rPr>
          <w:rFonts w:asciiTheme="minorEastAsia" w:eastAsiaTheme="minorEastAsia" w:hAnsiTheme="minorEastAsia"/>
          <w:sz w:val="18"/>
          <w:szCs w:val="18"/>
        </w:rPr>
      </w:pPr>
      <w:r w:rsidRPr="000C6268">
        <w:rPr>
          <w:rFonts w:asciiTheme="minorEastAsia" w:eastAsiaTheme="minorEastAsia" w:hAnsiTheme="minorEastAsia"/>
          <w:color w:val="000000"/>
          <w:sz w:val="18"/>
          <w:szCs w:val="18"/>
        </w:rPr>
        <w:t>사회보장급여법 제5조: AI의 복지 수급 결정 시 행정처분 성격 및 이유 제시 의무 → AI 설명 가능성 요건과 복합 충돌</w:t>
      </w:r>
    </w:p>
    <w:p w14:paraId="1357F619" w14:textId="05201436" w:rsidR="00F4793E" w:rsidRPr="007B4251" w:rsidRDefault="00F4793E">
      <w:pPr>
        <w:rPr>
          <w:rFonts w:asciiTheme="minorEastAsia" w:eastAsiaTheme="minorEastAsia" w:hAnsiTheme="minorEastAsia"/>
        </w:rPr>
      </w:pPr>
    </w:p>
    <w:p w14:paraId="3088CDF0" w14:textId="77777777" w:rsidR="00F4793E" w:rsidRPr="007B4251" w:rsidRDefault="00000000">
      <w:pPr>
        <w:pStyle w:val="1"/>
        <w:shd w:val="clear" w:color="auto" w:fill="1F4E79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lastRenderedPageBreak/>
        <w:t xml:space="preserve">  Ⅱ. 본론 3 — 알고리즘 차별 방지의 기술적 구현 가능성</w:t>
      </w:r>
    </w:p>
    <w:p w14:paraId="0B513427" w14:textId="77777777" w:rsidR="00F4793E" w:rsidRPr="007B4251" w:rsidRDefault="00000000">
      <w:pPr>
        <w:pStyle w:val="2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t>▶ 1. 3단계 편향 제거 기법</w:t>
      </w:r>
    </w:p>
    <w:p w14:paraId="454A65FA" w14:textId="77777777" w:rsidR="00F4793E" w:rsidRPr="007B4251" w:rsidRDefault="00F4793E">
      <w:pPr>
        <w:spacing w:before="20" w:after="20"/>
        <w:rPr>
          <w:rFonts w:asciiTheme="minorEastAsia" w:eastAsia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F4793E" w:rsidRPr="007B4251" w14:paraId="0D1850CF" w14:textId="77777777">
        <w:trPr>
          <w:tblHeader/>
        </w:trPr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70F4C" w14:textId="77777777" w:rsidR="00F4793E" w:rsidRPr="000C6268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0C6268">
              <w:rPr>
                <w:rFonts w:asciiTheme="minorEastAsia" w:eastAsiaTheme="minorEastAsia" w:hAnsiTheme="minorEastAsia"/>
                <w:b/>
                <w:bCs/>
                <w:color w:val="FFFFFF"/>
                <w:sz w:val="18"/>
                <w:szCs w:val="18"/>
              </w:rPr>
              <w:t>기법</w:t>
            </w:r>
          </w:p>
        </w:tc>
        <w:tc>
          <w:tcPr>
            <w:tcW w:w="3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52AA88" w14:textId="77777777" w:rsidR="00F4793E" w:rsidRPr="000C6268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0C6268">
              <w:rPr>
                <w:rFonts w:asciiTheme="minorEastAsia" w:eastAsiaTheme="minorEastAsia" w:hAnsiTheme="minorEastAsia"/>
                <w:b/>
                <w:bCs/>
                <w:color w:val="FFFFFF"/>
                <w:sz w:val="18"/>
                <w:szCs w:val="18"/>
              </w:rPr>
              <w:t>방법론</w:t>
            </w:r>
          </w:p>
        </w:tc>
        <w:tc>
          <w:tcPr>
            <w:tcW w:w="3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64E7AA" w14:textId="77777777" w:rsidR="00F4793E" w:rsidRPr="000C6268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0C6268">
              <w:rPr>
                <w:rFonts w:asciiTheme="minorEastAsia" w:eastAsiaTheme="minorEastAsia" w:hAnsiTheme="minorEastAsia"/>
                <w:b/>
                <w:bCs/>
                <w:color w:val="FFFFFF"/>
                <w:sz w:val="18"/>
                <w:szCs w:val="18"/>
              </w:rPr>
              <w:t>적용 예시</w:t>
            </w:r>
          </w:p>
        </w:tc>
      </w:tr>
      <w:tr w:rsidR="00F4793E" w:rsidRPr="007B4251" w14:paraId="5B39C76B" w14:textId="77777777"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BDFF4" w14:textId="77777777" w:rsidR="000C6268" w:rsidRDefault="00000000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1F4E79"/>
                <w:sz w:val="18"/>
                <w:szCs w:val="18"/>
              </w:rPr>
            </w:pPr>
            <w:r w:rsidRPr="000C6268">
              <w:rPr>
                <w:rFonts w:asciiTheme="minorEastAsia" w:eastAsiaTheme="minorEastAsia" w:hAnsiTheme="minorEastAsia"/>
                <w:b/>
                <w:bCs/>
                <w:color w:val="1F4E79"/>
                <w:sz w:val="18"/>
                <w:szCs w:val="18"/>
              </w:rPr>
              <w:t>전처리</w:t>
            </w:r>
          </w:p>
          <w:p w14:paraId="78E0C5F9" w14:textId="385B7C04" w:rsidR="00F4793E" w:rsidRPr="000C6268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0C6268">
              <w:rPr>
                <w:rFonts w:asciiTheme="minorEastAsia" w:eastAsiaTheme="minorEastAsia" w:hAnsiTheme="minorEastAsia"/>
                <w:b/>
                <w:bCs/>
                <w:color w:val="1F4E79"/>
                <w:sz w:val="18"/>
                <w:szCs w:val="18"/>
              </w:rPr>
              <w:t>(Pre-processing)</w:t>
            </w:r>
          </w:p>
        </w:tc>
        <w:tc>
          <w:tcPr>
            <w:tcW w:w="3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7EB2C" w14:textId="77777777" w:rsidR="00F4793E" w:rsidRPr="000C6268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0C6268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Reweighting, Disparate Impact Remover, Fair Data Augmentation</w:t>
            </w:r>
          </w:p>
        </w:tc>
        <w:tc>
          <w:tcPr>
            <w:tcW w:w="3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A5F1CB" w14:textId="77777777" w:rsidR="00F4793E" w:rsidRPr="000C6268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0C6268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채용 AI 훈련 데이터의 성별·연령 과소 대표 교정</w:t>
            </w:r>
          </w:p>
        </w:tc>
      </w:tr>
      <w:tr w:rsidR="00F4793E" w:rsidRPr="007B4251" w14:paraId="30663B2E" w14:textId="77777777"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92903D" w14:textId="77777777" w:rsidR="000C6268" w:rsidRDefault="00000000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1F4E79"/>
                <w:sz w:val="18"/>
                <w:szCs w:val="18"/>
              </w:rPr>
            </w:pPr>
            <w:r w:rsidRPr="000C6268">
              <w:rPr>
                <w:rFonts w:asciiTheme="minorEastAsia" w:eastAsiaTheme="minorEastAsia" w:hAnsiTheme="minorEastAsia"/>
                <w:b/>
                <w:bCs/>
                <w:color w:val="1F4E79"/>
                <w:sz w:val="18"/>
                <w:szCs w:val="18"/>
              </w:rPr>
              <w:t>처리 중</w:t>
            </w:r>
          </w:p>
          <w:p w14:paraId="52A4496F" w14:textId="5DB43E56" w:rsidR="00F4793E" w:rsidRPr="000C6268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0C6268">
              <w:rPr>
                <w:rFonts w:asciiTheme="minorEastAsia" w:eastAsiaTheme="minorEastAsia" w:hAnsiTheme="minorEastAsia"/>
                <w:b/>
                <w:bCs/>
                <w:color w:val="1F4E79"/>
                <w:sz w:val="18"/>
                <w:szCs w:val="18"/>
              </w:rPr>
              <w:t>(In-processing)</w:t>
            </w:r>
          </w:p>
        </w:tc>
        <w:tc>
          <w:tcPr>
            <w:tcW w:w="3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A200F1" w14:textId="77777777" w:rsidR="00F4793E" w:rsidRPr="000C6268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0C6268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Adversarial Debiasing, Fairness Regularization, Reductions</w:t>
            </w:r>
          </w:p>
        </w:tc>
        <w:tc>
          <w:tcPr>
            <w:tcW w:w="3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ADA51" w14:textId="77777777" w:rsidR="00F4793E" w:rsidRPr="000C6268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0C6268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손실함수에 공정성 제약조건 통합</w:t>
            </w:r>
          </w:p>
        </w:tc>
      </w:tr>
      <w:tr w:rsidR="00F4793E" w:rsidRPr="007B4251" w14:paraId="4FC3A54A" w14:textId="77777777"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54739" w14:textId="77777777" w:rsidR="000C6268" w:rsidRDefault="00000000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1F4E79"/>
                <w:sz w:val="18"/>
                <w:szCs w:val="18"/>
              </w:rPr>
            </w:pPr>
            <w:r w:rsidRPr="000C6268">
              <w:rPr>
                <w:rFonts w:asciiTheme="minorEastAsia" w:eastAsiaTheme="minorEastAsia" w:hAnsiTheme="minorEastAsia"/>
                <w:b/>
                <w:bCs/>
                <w:color w:val="1F4E79"/>
                <w:sz w:val="18"/>
                <w:szCs w:val="18"/>
              </w:rPr>
              <w:t>후처리</w:t>
            </w:r>
          </w:p>
          <w:p w14:paraId="5CF920F6" w14:textId="307F57BA" w:rsidR="00F4793E" w:rsidRPr="000C6268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0C6268">
              <w:rPr>
                <w:rFonts w:asciiTheme="minorEastAsia" w:eastAsiaTheme="minorEastAsia" w:hAnsiTheme="minorEastAsia"/>
                <w:b/>
                <w:bCs/>
                <w:color w:val="1F4E79"/>
                <w:sz w:val="18"/>
                <w:szCs w:val="18"/>
              </w:rPr>
              <w:t>(Post-processing)</w:t>
            </w:r>
          </w:p>
        </w:tc>
        <w:tc>
          <w:tcPr>
            <w:tcW w:w="3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72619F" w14:textId="77777777" w:rsidR="00F4793E" w:rsidRPr="000C6268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0C6268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Equalized Odds Post-processing, Calibrated EO</w:t>
            </w:r>
          </w:p>
        </w:tc>
        <w:tc>
          <w:tcPr>
            <w:tcW w:w="3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17EBF3" w14:textId="77777777" w:rsidR="00F4793E" w:rsidRPr="000C6268" w:rsidRDefault="0000000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0C6268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모델 출력 보정으로 집단 간 오류율 균등화</w:t>
            </w:r>
          </w:p>
        </w:tc>
      </w:tr>
    </w:tbl>
    <w:p w14:paraId="1FA8E3D2" w14:textId="77777777" w:rsidR="00F4793E" w:rsidRPr="007B4251" w:rsidRDefault="00F4793E">
      <w:pPr>
        <w:spacing w:before="30" w:after="30"/>
        <w:rPr>
          <w:rFonts w:asciiTheme="minorEastAsia" w:eastAsiaTheme="minorEastAsia" w:hAnsiTheme="minorEastAsia"/>
        </w:rPr>
      </w:pPr>
    </w:p>
    <w:p w14:paraId="2D38C442" w14:textId="77777777" w:rsidR="00F4793E" w:rsidRPr="007B4251" w:rsidRDefault="00000000">
      <w:pPr>
        <w:pStyle w:val="2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t>▶ 2. 핵심 기술적 한계</w:t>
      </w:r>
    </w:p>
    <w:p w14:paraId="75CDF110" w14:textId="77777777" w:rsidR="00F4793E" w:rsidRPr="000C6268" w:rsidRDefault="00000000">
      <w:pPr>
        <w:pStyle w:val="a4"/>
        <w:numPr>
          <w:ilvl w:val="0"/>
          <w:numId w:val="2"/>
        </w:numPr>
        <w:spacing w:before="40" w:after="40" w:line="260" w:lineRule="auto"/>
        <w:rPr>
          <w:rFonts w:asciiTheme="minorEastAsia" w:eastAsiaTheme="minorEastAsia" w:hAnsiTheme="minorEastAsia"/>
          <w:sz w:val="18"/>
          <w:szCs w:val="18"/>
        </w:rPr>
      </w:pPr>
      <w:r w:rsidRPr="000C6268">
        <w:rPr>
          <w:rFonts w:asciiTheme="minorEastAsia" w:eastAsiaTheme="minorEastAsia" w:hAnsiTheme="minorEastAsia"/>
          <w:color w:val="000000"/>
          <w:sz w:val="18"/>
          <w:szCs w:val="18"/>
        </w:rPr>
        <w:t>공정성 지표 비양립성: Chouldechova(2017), Kleinberg et al.(2016) — 보정·균등화 오류율·균등화 기회는 수학적으로 동시 충족 불가 → 단일 기준으로 법적 차별 금지 충족 원천 불가능</w:t>
      </w:r>
    </w:p>
    <w:p w14:paraId="78A5F1E3" w14:textId="77777777" w:rsidR="00F4793E" w:rsidRPr="000C6268" w:rsidRDefault="00000000">
      <w:pPr>
        <w:pStyle w:val="a4"/>
        <w:numPr>
          <w:ilvl w:val="0"/>
          <w:numId w:val="2"/>
        </w:numPr>
        <w:spacing w:before="40" w:after="40" w:line="260" w:lineRule="auto"/>
        <w:rPr>
          <w:rFonts w:asciiTheme="minorEastAsia" w:eastAsiaTheme="minorEastAsia" w:hAnsiTheme="minorEastAsia"/>
          <w:sz w:val="18"/>
          <w:szCs w:val="18"/>
        </w:rPr>
      </w:pPr>
      <w:r w:rsidRPr="000C6268">
        <w:rPr>
          <w:rFonts w:asciiTheme="minorEastAsia" w:eastAsiaTheme="minorEastAsia" w:hAnsiTheme="minorEastAsia"/>
          <w:color w:val="000000"/>
          <w:sz w:val="18"/>
          <w:szCs w:val="18"/>
        </w:rPr>
        <w:t>설명 가능성 vs 정확도 트레이드오프: 딥러닝 모델의 LIME·SHAP 사후 설명은 국지적·불안정 → 법적 요건 '명확하고 의미 있는 설명'(AI기본법 제3조 제2항) 완전 충족 한계</w:t>
      </w:r>
    </w:p>
    <w:p w14:paraId="113D9411" w14:textId="77777777" w:rsidR="00F4793E" w:rsidRPr="007B4251" w:rsidRDefault="00000000">
      <w:pPr>
        <w:pStyle w:val="2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t>▶ 3. 양국 법제의 대응 방식 비교</w:t>
      </w:r>
    </w:p>
    <w:p w14:paraId="02661ABC" w14:textId="77777777" w:rsidR="00F4793E" w:rsidRPr="000C6268" w:rsidRDefault="00000000">
      <w:pPr>
        <w:pStyle w:val="a4"/>
        <w:numPr>
          <w:ilvl w:val="0"/>
          <w:numId w:val="2"/>
        </w:numPr>
        <w:spacing w:before="40" w:after="40" w:line="260" w:lineRule="auto"/>
        <w:rPr>
          <w:rFonts w:asciiTheme="minorEastAsia" w:eastAsiaTheme="minorEastAsia" w:hAnsiTheme="minorEastAsia"/>
          <w:sz w:val="18"/>
          <w:szCs w:val="18"/>
        </w:rPr>
      </w:pPr>
      <w:r w:rsidRPr="000C6268">
        <w:rPr>
          <w:rFonts w:asciiTheme="minorEastAsia" w:eastAsiaTheme="minorEastAsia" w:hAnsiTheme="minorEastAsia"/>
          <w:color w:val="000000"/>
          <w:sz w:val="18"/>
          <w:szCs w:val="18"/>
        </w:rPr>
        <w:t>한국 AI기본법: '기술적·합리적으로 가능한 범위에서의 설명'(제3조 제2항, 제34조 제1항 제2호) → 기술적 한계 법적 수용</w:t>
      </w:r>
    </w:p>
    <w:p w14:paraId="221C4782" w14:textId="77777777" w:rsidR="00F4793E" w:rsidRPr="000C6268" w:rsidRDefault="00000000">
      <w:pPr>
        <w:pStyle w:val="a4"/>
        <w:numPr>
          <w:ilvl w:val="0"/>
          <w:numId w:val="2"/>
        </w:numPr>
        <w:spacing w:before="40" w:after="40" w:line="260" w:lineRule="auto"/>
        <w:rPr>
          <w:rFonts w:asciiTheme="minorEastAsia" w:eastAsiaTheme="minorEastAsia" w:hAnsiTheme="minorEastAsia"/>
          <w:sz w:val="18"/>
          <w:szCs w:val="18"/>
        </w:rPr>
      </w:pPr>
      <w:r w:rsidRPr="000C6268">
        <w:rPr>
          <w:rFonts w:asciiTheme="minorEastAsia" w:eastAsiaTheme="minorEastAsia" w:hAnsiTheme="minorEastAsia"/>
          <w:color w:val="000000"/>
          <w:sz w:val="18"/>
          <w:szCs w:val="18"/>
        </w:rPr>
        <w:t>EU AI법 제14조: 인간 감독(human oversight) 의무 → 기술 한계를 인간 판단으로 보완하는 이중 안전망 구조</w:t>
      </w:r>
    </w:p>
    <w:p w14:paraId="31F01C53" w14:textId="77777777" w:rsidR="00F4793E" w:rsidRPr="007B4251" w:rsidRDefault="00000000">
      <w:pPr>
        <w:pStyle w:val="1"/>
        <w:shd w:val="clear" w:color="auto" w:fill="1F4E79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t xml:space="preserve">  Ⅱ. 본론 4 — 사회적 약자 보호를 위한 추가 제도 방안</w:t>
      </w:r>
    </w:p>
    <w:p w14:paraId="637B5B51" w14:textId="77777777" w:rsidR="00F4793E" w:rsidRPr="007B4251" w:rsidRDefault="00000000">
      <w:pPr>
        <w:pStyle w:val="2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t>▶ 1. 현행 법령 현황</w:t>
      </w:r>
    </w:p>
    <w:p w14:paraId="0E6B10FD" w14:textId="77777777" w:rsidR="00F4793E" w:rsidRPr="00BE6553" w:rsidRDefault="00000000">
      <w:pPr>
        <w:pStyle w:val="a4"/>
        <w:numPr>
          <w:ilvl w:val="0"/>
          <w:numId w:val="2"/>
        </w:numPr>
        <w:spacing w:before="40" w:after="40" w:line="260" w:lineRule="auto"/>
        <w:rPr>
          <w:rFonts w:asciiTheme="minorEastAsia" w:eastAsiaTheme="minorEastAsia" w:hAnsiTheme="minorEastAsia"/>
          <w:sz w:val="18"/>
          <w:szCs w:val="18"/>
        </w:rPr>
      </w:pPr>
      <w:r w:rsidRPr="00BE6553">
        <w:rPr>
          <w:rFonts w:asciiTheme="minorEastAsia" w:eastAsiaTheme="minorEastAsia" w:hAnsiTheme="minorEastAsia"/>
          <w:color w:val="000000"/>
          <w:sz w:val="18"/>
          <w:szCs w:val="18"/>
        </w:rPr>
        <w:t>AI기본법 제3조 제5항(2026.7.21. 시행): '인공지능취약계층'(장애인·고령자 등) 정책 참여 보장</w:t>
      </w:r>
    </w:p>
    <w:p w14:paraId="3C77763A" w14:textId="77777777" w:rsidR="00F4793E" w:rsidRPr="00BE6553" w:rsidRDefault="00000000">
      <w:pPr>
        <w:pStyle w:val="a4"/>
        <w:numPr>
          <w:ilvl w:val="0"/>
          <w:numId w:val="2"/>
        </w:numPr>
        <w:spacing w:before="40" w:after="40" w:line="260" w:lineRule="auto"/>
        <w:rPr>
          <w:rFonts w:asciiTheme="minorEastAsia" w:eastAsiaTheme="minorEastAsia" w:hAnsiTheme="minorEastAsia"/>
          <w:sz w:val="18"/>
          <w:szCs w:val="18"/>
        </w:rPr>
      </w:pPr>
      <w:r w:rsidRPr="00BE6553">
        <w:rPr>
          <w:rFonts w:asciiTheme="minorEastAsia" w:eastAsiaTheme="minorEastAsia" w:hAnsiTheme="minorEastAsia"/>
          <w:color w:val="000000"/>
          <w:sz w:val="18"/>
          <w:szCs w:val="18"/>
        </w:rPr>
        <w:t>제35조 제1항 후단(2026.7.21. 시행): 고영향 AI 영향평가 시 취약계층 특성 반영 의무</w:t>
      </w:r>
    </w:p>
    <w:p w14:paraId="4DFF7160" w14:textId="77777777" w:rsidR="00F4793E" w:rsidRPr="00BE6553" w:rsidRDefault="00000000">
      <w:pPr>
        <w:pStyle w:val="a4"/>
        <w:numPr>
          <w:ilvl w:val="0"/>
          <w:numId w:val="2"/>
        </w:numPr>
        <w:spacing w:before="40" w:after="40" w:line="260" w:lineRule="auto"/>
        <w:rPr>
          <w:rFonts w:asciiTheme="minorEastAsia" w:eastAsiaTheme="minorEastAsia" w:hAnsiTheme="minorEastAsia"/>
          <w:sz w:val="18"/>
          <w:szCs w:val="18"/>
        </w:rPr>
      </w:pPr>
      <w:r w:rsidRPr="00BE6553">
        <w:rPr>
          <w:rFonts w:asciiTheme="minorEastAsia" w:eastAsiaTheme="minorEastAsia" w:hAnsiTheme="minorEastAsia"/>
          <w:color w:val="000000"/>
          <w:sz w:val="18"/>
          <w:szCs w:val="18"/>
        </w:rPr>
        <w:t>제17조의2: 경제적 이유로 AI 서비스 이용 어려운 자 비용 지원 근거 신설</w:t>
      </w:r>
    </w:p>
    <w:p w14:paraId="5BAD55B4" w14:textId="77777777" w:rsidR="00F4793E" w:rsidRPr="00BE6553" w:rsidRDefault="00000000">
      <w:pPr>
        <w:pStyle w:val="a4"/>
        <w:numPr>
          <w:ilvl w:val="0"/>
          <w:numId w:val="2"/>
        </w:numPr>
        <w:spacing w:before="40" w:after="40" w:line="260" w:lineRule="auto"/>
        <w:rPr>
          <w:rFonts w:asciiTheme="minorEastAsia" w:eastAsiaTheme="minorEastAsia" w:hAnsiTheme="minorEastAsia"/>
          <w:sz w:val="18"/>
          <w:szCs w:val="18"/>
        </w:rPr>
      </w:pPr>
      <w:r w:rsidRPr="00BE6553">
        <w:rPr>
          <w:rFonts w:asciiTheme="minorEastAsia" w:eastAsiaTheme="minorEastAsia" w:hAnsiTheme="minorEastAsia"/>
          <w:color w:val="000000"/>
          <w:sz w:val="18"/>
          <w:szCs w:val="18"/>
        </w:rPr>
        <w:t>한계: 선언적 규정에 그치며, 구체적 시행 기준·실질적 구제 수단 미비</w:t>
      </w:r>
    </w:p>
    <w:p w14:paraId="23BDAE76" w14:textId="04EA8B0A" w:rsidR="00F4793E" w:rsidRPr="007B4251" w:rsidRDefault="00000000">
      <w:pPr>
        <w:pStyle w:val="2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t>▶ 2. 추가 제도</w:t>
      </w:r>
      <w:r w:rsidR="00F644EC">
        <w:rPr>
          <w:rFonts w:asciiTheme="minorEastAsia" w:eastAsiaTheme="minorEastAsia" w:hAnsiTheme="minorEastAsia"/>
        </w:rPr>
        <w:t xml:space="preserve"> </w:t>
      </w:r>
      <w:r w:rsidR="00F644EC">
        <w:rPr>
          <w:rFonts w:asciiTheme="minorEastAsia" w:eastAsiaTheme="minorEastAsia" w:hAnsiTheme="minorEastAsia" w:hint="eastAsia"/>
        </w:rPr>
        <w:t>방안</w:t>
      </w:r>
    </w:p>
    <w:p w14:paraId="3EDAB710" w14:textId="77777777" w:rsidR="00F4793E" w:rsidRPr="007B4251" w:rsidRDefault="00F4793E">
      <w:pPr>
        <w:spacing w:before="20" w:after="20"/>
        <w:rPr>
          <w:rFonts w:asciiTheme="minorEastAsia" w:eastAsia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60"/>
        <w:gridCol w:w="2800"/>
      </w:tblGrid>
      <w:tr w:rsidR="00F4793E" w:rsidRPr="007B4251" w14:paraId="78AF03D4" w14:textId="77777777">
        <w:trPr>
          <w:tblHeader/>
        </w:trPr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ADC49D" w14:textId="77777777" w:rsidR="00F4793E" w:rsidRPr="00BE6553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E6553">
              <w:rPr>
                <w:rFonts w:asciiTheme="minorEastAsia" w:eastAsiaTheme="minorEastAsia" w:hAnsiTheme="minorEastAsia"/>
                <w:b/>
                <w:bCs/>
                <w:color w:val="FFFFFF"/>
                <w:sz w:val="18"/>
                <w:szCs w:val="18"/>
              </w:rPr>
              <w:t>제도</w:t>
            </w:r>
          </w:p>
        </w:tc>
        <w:tc>
          <w:tcPr>
            <w:tcW w:w="4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5CB925" w14:textId="77777777" w:rsidR="00F4793E" w:rsidRPr="00BE6553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E6553">
              <w:rPr>
                <w:rFonts w:asciiTheme="minorEastAsia" w:eastAsiaTheme="minorEastAsia" w:hAnsiTheme="minorEastAsia"/>
                <w:b/>
                <w:bCs/>
                <w:color w:val="FFFFFF"/>
                <w:sz w:val="18"/>
                <w:szCs w:val="18"/>
              </w:rPr>
              <w:t>핵심 내용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376874" w14:textId="77777777" w:rsidR="00F4793E" w:rsidRPr="00BE6553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E6553">
              <w:rPr>
                <w:rFonts w:asciiTheme="minorEastAsia" w:eastAsiaTheme="minorEastAsia" w:hAnsiTheme="minorEastAsia"/>
                <w:b/>
                <w:bCs/>
                <w:color w:val="FFFFFF"/>
                <w:sz w:val="18"/>
                <w:szCs w:val="18"/>
              </w:rPr>
              <w:t>참조 모델</w:t>
            </w:r>
          </w:p>
        </w:tc>
      </w:tr>
      <w:tr w:rsidR="00F4793E" w:rsidRPr="007B4251" w14:paraId="0971BCC1" w14:textId="77777777"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2C61D" w14:textId="77777777" w:rsidR="00F4793E" w:rsidRPr="00BE6553" w:rsidRDefault="00000000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E6553">
              <w:rPr>
                <w:rFonts w:asciiTheme="minorEastAsia" w:eastAsiaTheme="minorEastAsia" w:hAnsiTheme="minorEastAsia"/>
                <w:b/>
                <w:bCs/>
                <w:color w:val="1F4E79"/>
                <w:sz w:val="16"/>
                <w:szCs w:val="16"/>
              </w:rPr>
              <w:t>① 독립 영향평가 의무화</w:t>
            </w:r>
          </w:p>
        </w:tc>
        <w:tc>
          <w:tcPr>
            <w:tcW w:w="4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7282B" w14:textId="77777777" w:rsidR="00F4793E" w:rsidRPr="00BE6553" w:rsidRDefault="0000000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E6553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공공 영역 고영향 AI → 제3자 독립 심사 의무화. 국가인공지능전략위원회 산하 전문 심사 기구 설치.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CC72B" w14:textId="77777777" w:rsidR="00F4793E" w:rsidRPr="00BE6553" w:rsidRDefault="0000000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E6553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EU FRIA (기본권 영향평가)</w:t>
            </w:r>
          </w:p>
        </w:tc>
      </w:tr>
      <w:tr w:rsidR="00F4793E" w:rsidRPr="007B4251" w14:paraId="6505E4BC" w14:textId="77777777"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2DC9A" w14:textId="77777777" w:rsidR="00F4793E" w:rsidRPr="00BE6553" w:rsidRDefault="00000000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E6553">
              <w:rPr>
                <w:rFonts w:asciiTheme="minorEastAsia" w:eastAsiaTheme="minorEastAsia" w:hAnsiTheme="minorEastAsia"/>
                <w:b/>
                <w:bCs/>
                <w:color w:val="1F4E79"/>
                <w:sz w:val="16"/>
                <w:szCs w:val="16"/>
              </w:rPr>
              <w:t>② 시정 청구권 법제화</w:t>
            </w:r>
          </w:p>
        </w:tc>
        <w:tc>
          <w:tcPr>
            <w:tcW w:w="4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B5EB64" w14:textId="77777777" w:rsidR="00F4793E" w:rsidRPr="00BE6553" w:rsidRDefault="0000000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E6553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채용·복지·교육 분야 AI 결정에 대한 설명 요구권 및 시정 청</w:t>
            </w:r>
            <w:r w:rsidRPr="00BE6553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lastRenderedPageBreak/>
              <w:t>구권 명문화.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44773" w14:textId="77777777" w:rsidR="00F4793E" w:rsidRPr="00BE6553" w:rsidRDefault="0000000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E6553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lastRenderedPageBreak/>
              <w:t>신용정보법 제35조의2</w:t>
            </w:r>
          </w:p>
        </w:tc>
      </w:tr>
      <w:tr w:rsidR="00F4793E" w:rsidRPr="007B4251" w14:paraId="16CE86FD" w14:textId="77777777"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24F7F5" w14:textId="77777777" w:rsidR="00F4793E" w:rsidRPr="00BE6553" w:rsidRDefault="00000000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E6553">
              <w:rPr>
                <w:rFonts w:asciiTheme="minorEastAsia" w:eastAsiaTheme="minorEastAsia" w:hAnsiTheme="minorEastAsia"/>
                <w:b/>
                <w:bCs/>
                <w:color w:val="1F4E79"/>
                <w:sz w:val="16"/>
                <w:szCs w:val="16"/>
              </w:rPr>
              <w:t>③ 디지털 포용 정책</w:t>
            </w:r>
          </w:p>
        </w:tc>
        <w:tc>
          <w:tcPr>
            <w:tcW w:w="4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494EEA" w14:textId="77777777" w:rsidR="00F4793E" w:rsidRPr="00BE6553" w:rsidRDefault="0000000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E6553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제17조의2 구체화 → 저소득층·고령자·장애인 AI 서비스 접근성 지원. 보편적 설계(Universal Design) 기준 제정.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549D7" w14:textId="77777777" w:rsidR="00F4793E" w:rsidRPr="00BE6553" w:rsidRDefault="0000000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E6553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EU AI법 전문 Recitals</w:t>
            </w:r>
          </w:p>
        </w:tc>
      </w:tr>
      <w:tr w:rsidR="00F4793E" w:rsidRPr="007B4251" w14:paraId="6125B6AC" w14:textId="77777777"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1D4F23" w14:textId="77777777" w:rsidR="00F4793E" w:rsidRPr="00BE6553" w:rsidRDefault="00000000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E6553">
              <w:rPr>
                <w:rFonts w:asciiTheme="minorEastAsia" w:eastAsiaTheme="minorEastAsia" w:hAnsiTheme="minorEastAsia"/>
                <w:b/>
                <w:bCs/>
                <w:color w:val="1F4E79"/>
                <w:sz w:val="16"/>
                <w:szCs w:val="16"/>
              </w:rPr>
              <w:t>④ 알고리즘 감사 제도화</w:t>
            </w:r>
          </w:p>
        </w:tc>
        <w:tc>
          <w:tcPr>
            <w:tcW w:w="4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71A02B" w14:textId="77777777" w:rsidR="00F4793E" w:rsidRPr="00BE6553" w:rsidRDefault="0000000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E6553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공공 영역 고영향 AI 정기 알고리즘 감사 의무화. 결과 공개·감사 기관 인증·감사 비용 공적 지원 체계.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1A8324" w14:textId="77777777" w:rsidR="00F4793E" w:rsidRPr="00BE6553" w:rsidRDefault="00000000">
            <w:pPr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E6553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EU 적합성 평가 체계</w:t>
            </w:r>
          </w:p>
        </w:tc>
      </w:tr>
    </w:tbl>
    <w:p w14:paraId="7EDDBFF8" w14:textId="77777777" w:rsidR="00F4793E" w:rsidRPr="007B4251" w:rsidRDefault="00F4793E">
      <w:pPr>
        <w:spacing w:before="30" w:after="30"/>
        <w:rPr>
          <w:rFonts w:asciiTheme="minorEastAsia" w:eastAsiaTheme="minorEastAsia" w:hAnsiTheme="minorEastAsia"/>
        </w:rPr>
      </w:pPr>
    </w:p>
    <w:p w14:paraId="5DD51A77" w14:textId="77777777" w:rsidR="003F782A" w:rsidRPr="007B4251" w:rsidRDefault="003F782A">
      <w:pPr>
        <w:rPr>
          <w:rFonts w:asciiTheme="minorEastAsia" w:eastAsiaTheme="minorEastAsia" w:hAnsiTheme="minorEastAsia"/>
        </w:rPr>
      </w:pPr>
    </w:p>
    <w:p w14:paraId="1B925FB7" w14:textId="77777777" w:rsidR="003F782A" w:rsidRPr="007B4251" w:rsidRDefault="003F782A">
      <w:pPr>
        <w:rPr>
          <w:rFonts w:asciiTheme="minorEastAsia" w:eastAsiaTheme="minorEastAsia" w:hAnsiTheme="minorEastAsia"/>
        </w:rPr>
      </w:pPr>
    </w:p>
    <w:p w14:paraId="0884B39B" w14:textId="77777777" w:rsidR="003F782A" w:rsidRPr="007B4251" w:rsidRDefault="003F782A">
      <w:pPr>
        <w:rPr>
          <w:rFonts w:asciiTheme="minorEastAsia" w:eastAsiaTheme="minorEastAsia" w:hAnsiTheme="minorEastAsia"/>
        </w:rPr>
      </w:pPr>
    </w:p>
    <w:p w14:paraId="6DC03286" w14:textId="77777777" w:rsidR="003F782A" w:rsidRPr="007B4251" w:rsidRDefault="003F782A">
      <w:pPr>
        <w:rPr>
          <w:rFonts w:asciiTheme="minorEastAsia" w:eastAsiaTheme="minorEastAsia" w:hAnsiTheme="minorEastAsia"/>
        </w:rPr>
      </w:pPr>
    </w:p>
    <w:p w14:paraId="406C5CA3" w14:textId="77777777" w:rsidR="00F4793E" w:rsidRPr="007B4251" w:rsidRDefault="00000000">
      <w:pPr>
        <w:pStyle w:val="1"/>
        <w:shd w:val="clear" w:color="auto" w:fill="1F4E79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t xml:space="preserve">  </w:t>
      </w:r>
      <w:r w:rsidRPr="007B4251">
        <w:rPr>
          <w:rFonts w:asciiTheme="minorEastAsia" w:eastAsiaTheme="minorEastAsia" w:hAnsiTheme="minorEastAsia" w:cs="바탕" w:hint="eastAsia"/>
        </w:rPr>
        <w:t>Ⅲ</w:t>
      </w:r>
      <w:r w:rsidRPr="007B4251">
        <w:rPr>
          <w:rFonts w:asciiTheme="minorEastAsia" w:eastAsiaTheme="minorEastAsia" w:hAnsiTheme="minorEastAsia"/>
        </w:rPr>
        <w:t>. 결론</w:t>
      </w:r>
    </w:p>
    <w:p w14:paraId="182AAFAF" w14:textId="77777777" w:rsidR="00F4793E" w:rsidRPr="007B4251" w:rsidRDefault="00000000">
      <w:pPr>
        <w:pStyle w:val="2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t>▶ 종합 요약</w:t>
      </w:r>
    </w:p>
    <w:p w14:paraId="38A29794" w14:textId="77777777" w:rsidR="00F4793E" w:rsidRPr="007B4251" w:rsidRDefault="00F4793E">
      <w:pPr>
        <w:spacing w:before="20" w:after="20"/>
        <w:rPr>
          <w:rFonts w:asciiTheme="minorEastAsia" w:eastAsia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4793E" w:rsidRPr="007B4251" w14:paraId="17B54387" w14:textId="77777777" w:rsidTr="00BE6553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DDBC9" w14:textId="77777777" w:rsidR="00F4793E" w:rsidRPr="00F8525D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F8525D">
              <w:rPr>
                <w:rFonts w:asciiTheme="minorEastAsia" w:eastAsiaTheme="minorEastAsia" w:hAnsiTheme="minorEastAsia"/>
                <w:b/>
                <w:bCs/>
                <w:color w:val="FFFFFF"/>
                <w:sz w:val="18"/>
                <w:szCs w:val="18"/>
              </w:rPr>
              <w:t>쟁점</w:t>
            </w:r>
          </w:p>
        </w:tc>
        <w:tc>
          <w:tcPr>
            <w:tcW w:w="6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0591C0" w14:textId="77777777" w:rsidR="00F4793E" w:rsidRPr="00F8525D" w:rsidRDefault="0000000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F8525D">
              <w:rPr>
                <w:rFonts w:asciiTheme="minorEastAsia" w:eastAsiaTheme="minorEastAsia" w:hAnsiTheme="minorEastAsia"/>
                <w:b/>
                <w:bCs/>
                <w:color w:val="FFFFFF"/>
                <w:sz w:val="18"/>
                <w:szCs w:val="18"/>
              </w:rPr>
              <w:t>핵심 결론</w:t>
            </w:r>
          </w:p>
        </w:tc>
      </w:tr>
      <w:tr w:rsidR="00F4793E" w:rsidRPr="007B4251" w14:paraId="15F0CA04" w14:textId="77777777" w:rsidTr="00BE6553"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EC3E2E" w14:textId="77777777" w:rsidR="00F4793E" w:rsidRPr="00BE6553" w:rsidRDefault="00000000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17"/>
                <w:szCs w:val="17"/>
              </w:rPr>
            </w:pPr>
            <w:r w:rsidRPr="00BE6553">
              <w:rPr>
                <w:rFonts w:asciiTheme="minorEastAsia" w:eastAsiaTheme="minorEastAsia" w:hAnsiTheme="minorEastAsia"/>
                <w:b/>
                <w:bCs/>
                <w:color w:val="000000"/>
                <w:sz w:val="17"/>
                <w:szCs w:val="17"/>
              </w:rPr>
              <w:t>EU식 고위험 규제 도입 영향</w:t>
            </w:r>
          </w:p>
        </w:tc>
        <w:tc>
          <w:tcPr>
            <w:tcW w:w="6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A1DAA" w14:textId="77777777" w:rsidR="00F4793E" w:rsidRPr="00BE6553" w:rsidRDefault="00000000">
            <w:pPr>
              <w:spacing w:line="276" w:lineRule="auto"/>
              <w:jc w:val="both"/>
              <w:rPr>
                <w:rFonts w:asciiTheme="minorEastAsia" w:eastAsiaTheme="minorEastAsia" w:hAnsiTheme="minorEastAsia"/>
                <w:sz w:val="17"/>
                <w:szCs w:val="17"/>
              </w:rPr>
            </w:pPr>
            <w:r w:rsidRPr="00BE6553">
              <w:rPr>
                <w:rFonts w:asciiTheme="minorEastAsia" w:eastAsiaTheme="minorEastAsia" w:hAnsiTheme="minorEastAsia"/>
                <w:color w:val="000000"/>
                <w:sz w:val="17"/>
                <w:szCs w:val="17"/>
              </w:rPr>
              <w:t>단기: 규제 준수 비용 증가 / 중장기: 신뢰·국제표준 적합성 확보</w:t>
            </w:r>
          </w:p>
        </w:tc>
      </w:tr>
      <w:tr w:rsidR="00F4793E" w:rsidRPr="007B4251" w14:paraId="3C66604E" w14:textId="77777777" w:rsidTr="00BE6553"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2CB53" w14:textId="77777777" w:rsidR="00F4793E" w:rsidRPr="00BE6553" w:rsidRDefault="00000000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17"/>
                <w:szCs w:val="17"/>
              </w:rPr>
            </w:pPr>
            <w:r w:rsidRPr="00BE6553">
              <w:rPr>
                <w:rFonts w:asciiTheme="minorEastAsia" w:eastAsiaTheme="minorEastAsia" w:hAnsiTheme="minorEastAsia"/>
                <w:b/>
                <w:bCs/>
                <w:color w:val="000000"/>
                <w:sz w:val="17"/>
                <w:szCs w:val="17"/>
              </w:rPr>
              <w:t>기존 법령 충돌</w:t>
            </w:r>
          </w:p>
        </w:tc>
        <w:tc>
          <w:tcPr>
            <w:tcW w:w="6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BF211F" w14:textId="77777777" w:rsidR="00F4793E" w:rsidRPr="00BE6553" w:rsidRDefault="00000000">
            <w:pPr>
              <w:spacing w:line="276" w:lineRule="auto"/>
              <w:jc w:val="both"/>
              <w:rPr>
                <w:rFonts w:asciiTheme="minorEastAsia" w:eastAsiaTheme="minorEastAsia" w:hAnsiTheme="minorEastAsia"/>
                <w:sz w:val="17"/>
                <w:szCs w:val="17"/>
              </w:rPr>
            </w:pPr>
            <w:r w:rsidRPr="00BE6553">
              <w:rPr>
                <w:rFonts w:asciiTheme="minorEastAsia" w:eastAsiaTheme="minorEastAsia" w:hAnsiTheme="minorEastAsia"/>
                <w:color w:val="000000"/>
                <w:sz w:val="17"/>
                <w:szCs w:val="17"/>
              </w:rPr>
              <w:t>'인간 판단의 법적 귀속' 문제가 핵심 → 개별 법령 정비 불가피</w:t>
            </w:r>
          </w:p>
        </w:tc>
      </w:tr>
      <w:tr w:rsidR="00F4793E" w:rsidRPr="007B4251" w14:paraId="4EF7BCE2" w14:textId="77777777" w:rsidTr="00BE6553"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895319" w14:textId="77777777" w:rsidR="00F4793E" w:rsidRPr="00BE6553" w:rsidRDefault="00000000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17"/>
                <w:szCs w:val="17"/>
              </w:rPr>
            </w:pPr>
            <w:r w:rsidRPr="00BE6553">
              <w:rPr>
                <w:rFonts w:asciiTheme="minorEastAsia" w:eastAsiaTheme="minorEastAsia" w:hAnsiTheme="minorEastAsia"/>
                <w:b/>
                <w:bCs/>
                <w:color w:val="000000"/>
                <w:sz w:val="17"/>
                <w:szCs w:val="17"/>
              </w:rPr>
              <w:t>알고리즘 차별 방지 기술</w:t>
            </w:r>
          </w:p>
        </w:tc>
        <w:tc>
          <w:tcPr>
            <w:tcW w:w="6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5B9DA" w14:textId="77777777" w:rsidR="00F4793E" w:rsidRPr="00BE6553" w:rsidRDefault="00000000">
            <w:pPr>
              <w:spacing w:line="276" w:lineRule="auto"/>
              <w:jc w:val="both"/>
              <w:rPr>
                <w:rFonts w:asciiTheme="minorEastAsia" w:eastAsiaTheme="minorEastAsia" w:hAnsiTheme="minorEastAsia"/>
                <w:sz w:val="17"/>
                <w:szCs w:val="17"/>
              </w:rPr>
            </w:pPr>
            <w:r w:rsidRPr="00BE6553">
              <w:rPr>
                <w:rFonts w:asciiTheme="minorEastAsia" w:eastAsiaTheme="minorEastAsia" w:hAnsiTheme="minorEastAsia"/>
                <w:color w:val="000000"/>
                <w:sz w:val="17"/>
                <w:szCs w:val="17"/>
              </w:rPr>
              <w:t>구현 가능하나 공정성 지표 비양립성·XAI 한계 → 법 기준의 기술적 현실 반영 필요</w:t>
            </w:r>
          </w:p>
        </w:tc>
      </w:tr>
      <w:tr w:rsidR="00F4793E" w:rsidRPr="007B4251" w14:paraId="2919CD7C" w14:textId="77777777" w:rsidTr="00BE6553"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5F808" w14:textId="77777777" w:rsidR="00F4793E" w:rsidRPr="00BE6553" w:rsidRDefault="00000000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17"/>
                <w:szCs w:val="17"/>
              </w:rPr>
            </w:pPr>
            <w:r w:rsidRPr="00BE6553">
              <w:rPr>
                <w:rFonts w:asciiTheme="minorEastAsia" w:eastAsiaTheme="minorEastAsia" w:hAnsiTheme="minorEastAsia"/>
                <w:b/>
                <w:bCs/>
                <w:color w:val="000000"/>
                <w:sz w:val="17"/>
                <w:szCs w:val="17"/>
              </w:rPr>
              <w:t>사회적 약자 보호</w:t>
            </w:r>
          </w:p>
        </w:tc>
        <w:tc>
          <w:tcPr>
            <w:tcW w:w="6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D8FACA" w14:textId="77777777" w:rsidR="00F4793E" w:rsidRPr="00BE6553" w:rsidRDefault="00000000">
            <w:pPr>
              <w:spacing w:line="276" w:lineRule="auto"/>
              <w:jc w:val="both"/>
              <w:rPr>
                <w:rFonts w:asciiTheme="minorEastAsia" w:eastAsiaTheme="minorEastAsia" w:hAnsiTheme="minorEastAsia"/>
                <w:sz w:val="17"/>
                <w:szCs w:val="17"/>
              </w:rPr>
            </w:pPr>
            <w:r w:rsidRPr="00BE6553">
              <w:rPr>
                <w:rFonts w:asciiTheme="minorEastAsia" w:eastAsiaTheme="minorEastAsia" w:hAnsiTheme="minorEastAsia"/>
                <w:color w:val="000000"/>
                <w:sz w:val="17"/>
                <w:szCs w:val="17"/>
              </w:rPr>
              <w:t>선언 → 의무화 전환 필요: 독립 영향평가·시정청구권·디지털포용·감사 제도화</w:t>
            </w:r>
          </w:p>
        </w:tc>
      </w:tr>
    </w:tbl>
    <w:p w14:paraId="5DECC711" w14:textId="77777777" w:rsidR="00F4793E" w:rsidRPr="007B4251" w:rsidRDefault="00F4793E">
      <w:pPr>
        <w:spacing w:before="40" w:after="40"/>
        <w:rPr>
          <w:rFonts w:asciiTheme="minorEastAsia" w:eastAsiaTheme="minorEastAsia" w:hAnsiTheme="minorEastAsia"/>
        </w:rPr>
      </w:pPr>
    </w:p>
    <w:p w14:paraId="5F9DB9C8" w14:textId="77777777" w:rsidR="00F4793E" w:rsidRPr="007B4251" w:rsidRDefault="00000000">
      <w:pPr>
        <w:pStyle w:val="2"/>
        <w:rPr>
          <w:rFonts w:asciiTheme="minorEastAsia" w:eastAsiaTheme="minorEastAsia" w:hAnsiTheme="minorEastAsia"/>
        </w:rPr>
      </w:pPr>
      <w:r w:rsidRPr="007B4251">
        <w:rPr>
          <w:rFonts w:asciiTheme="minorEastAsia" w:eastAsiaTheme="minorEastAsia" w:hAnsiTheme="minorEastAsia"/>
        </w:rPr>
        <w:t>▶ 정책 제언</w:t>
      </w:r>
    </w:p>
    <w:p w14:paraId="40ED08FE" w14:textId="77777777" w:rsidR="00F4793E" w:rsidRPr="00BE6553" w:rsidRDefault="00000000">
      <w:pPr>
        <w:pStyle w:val="a4"/>
        <w:numPr>
          <w:ilvl w:val="0"/>
          <w:numId w:val="2"/>
        </w:numPr>
        <w:spacing w:before="40" w:after="40" w:line="260" w:lineRule="auto"/>
        <w:rPr>
          <w:rFonts w:asciiTheme="minorEastAsia" w:eastAsiaTheme="minorEastAsia" w:hAnsiTheme="minorEastAsia"/>
          <w:sz w:val="18"/>
          <w:szCs w:val="18"/>
        </w:rPr>
      </w:pPr>
      <w:r w:rsidRPr="00BE6553">
        <w:rPr>
          <w:rFonts w:asciiTheme="minorEastAsia" w:eastAsiaTheme="minorEastAsia" w:hAnsiTheme="minorEastAsia"/>
          <w:color w:val="000000"/>
          <w:sz w:val="18"/>
          <w:szCs w:val="18"/>
        </w:rPr>
        <w:t>단기: AI기본법 시행령 정비 및 분야별 가이드라인 구체화 (교육·채용·복지 분야 AI 업무 주체 명확화)</w:t>
      </w:r>
    </w:p>
    <w:p w14:paraId="607EE238" w14:textId="77777777" w:rsidR="00F4793E" w:rsidRPr="00BE6553" w:rsidRDefault="00000000">
      <w:pPr>
        <w:pStyle w:val="a4"/>
        <w:numPr>
          <w:ilvl w:val="0"/>
          <w:numId w:val="2"/>
        </w:numPr>
        <w:spacing w:before="40" w:after="40" w:line="260" w:lineRule="auto"/>
        <w:rPr>
          <w:rFonts w:asciiTheme="minorEastAsia" w:eastAsiaTheme="minorEastAsia" w:hAnsiTheme="minorEastAsia"/>
          <w:sz w:val="18"/>
          <w:szCs w:val="18"/>
        </w:rPr>
      </w:pPr>
      <w:r w:rsidRPr="00BE6553">
        <w:rPr>
          <w:rFonts w:asciiTheme="minorEastAsia" w:eastAsiaTheme="minorEastAsia" w:hAnsiTheme="minorEastAsia"/>
          <w:color w:val="000000"/>
          <w:sz w:val="18"/>
          <w:szCs w:val="18"/>
        </w:rPr>
        <w:t>중기: 개별 법령(교육공무원법·고용보험법·사회보장급여법) 정비를 통한 AI기본법 연계 규정 마련</w:t>
      </w:r>
    </w:p>
    <w:p w14:paraId="2D4BB204" w14:textId="570EDD29" w:rsidR="00F4793E" w:rsidRPr="00BE6553" w:rsidRDefault="00000000" w:rsidP="00113E36">
      <w:pPr>
        <w:pStyle w:val="a4"/>
        <w:numPr>
          <w:ilvl w:val="0"/>
          <w:numId w:val="2"/>
        </w:numPr>
        <w:spacing w:before="40" w:after="40" w:line="260" w:lineRule="auto"/>
        <w:rPr>
          <w:rFonts w:asciiTheme="minorEastAsia" w:eastAsiaTheme="minorEastAsia" w:hAnsiTheme="minorEastAsia"/>
          <w:sz w:val="18"/>
          <w:szCs w:val="18"/>
        </w:rPr>
      </w:pPr>
      <w:r w:rsidRPr="00BE6553">
        <w:rPr>
          <w:rFonts w:asciiTheme="minorEastAsia" w:eastAsiaTheme="minorEastAsia" w:hAnsiTheme="minorEastAsia"/>
          <w:color w:val="000000"/>
          <w:sz w:val="18"/>
          <w:szCs w:val="18"/>
        </w:rPr>
        <w:t>장기: 고위험 AI 영역 독립 심사 체계·알고리즘 감사 제도화·시정 청구권 명문화</w:t>
      </w:r>
    </w:p>
    <w:sectPr w:rsidR="00F4793E" w:rsidRPr="00BE6553">
      <w:footerReference w:type="default" r:id="rId8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45FDD" w14:textId="77777777" w:rsidR="00D77AFC" w:rsidRDefault="00D77AFC">
      <w:r>
        <w:separator/>
      </w:r>
    </w:p>
  </w:endnote>
  <w:endnote w:type="continuationSeparator" w:id="0">
    <w:p w14:paraId="7147A679" w14:textId="77777777" w:rsidR="00D77AFC" w:rsidRDefault="00D77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anumGothic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2B098" w14:textId="77777777" w:rsidR="00F4793E" w:rsidRDefault="00000000">
    <w:pPr>
      <w:jc w:val="center"/>
    </w:pPr>
    <w:r>
      <w:rPr>
        <w:color w:val="595959"/>
        <w:sz w:val="17"/>
        <w:szCs w:val="17"/>
      </w:rPr>
      <w:t xml:space="preserve">EU AI Act와 국내 AI법 비교 | AI거버넌스: 관련법과 국제표준 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>
      <w:rPr>
        <w:color w:val="595959"/>
        <w:sz w:val="17"/>
        <w:szCs w:val="17"/>
      </w:rPr>
      <w:fldChar w:fldCharType="separate"/>
    </w:r>
    <w:r w:rsidR="00F910D8">
      <w:rPr>
        <w:noProof/>
        <w:color w:val="595959"/>
        <w:sz w:val="17"/>
        <w:szCs w:val="17"/>
      </w:rPr>
      <w:t>1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A1F93" w14:textId="77777777" w:rsidR="00D77AFC" w:rsidRDefault="00D77AFC">
      <w:r>
        <w:separator/>
      </w:r>
    </w:p>
  </w:footnote>
  <w:footnote w:type="continuationSeparator" w:id="0">
    <w:p w14:paraId="303479F4" w14:textId="77777777" w:rsidR="00D77AFC" w:rsidRDefault="00D77A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43D9A"/>
    <w:multiLevelType w:val="hybridMultilevel"/>
    <w:tmpl w:val="F758728E"/>
    <w:lvl w:ilvl="0" w:tplc="18C0F738">
      <w:start w:val="1"/>
      <w:numFmt w:val="bullet"/>
      <w:lvlText w:val="•"/>
      <w:lvlJc w:val="left"/>
      <w:pPr>
        <w:ind w:left="400" w:hanging="280"/>
      </w:pPr>
    </w:lvl>
    <w:lvl w:ilvl="1" w:tplc="E31C68DA">
      <w:numFmt w:val="decimal"/>
      <w:lvlText w:val=""/>
      <w:lvlJc w:val="left"/>
    </w:lvl>
    <w:lvl w:ilvl="2" w:tplc="E64A5E70">
      <w:numFmt w:val="decimal"/>
      <w:lvlText w:val=""/>
      <w:lvlJc w:val="left"/>
    </w:lvl>
    <w:lvl w:ilvl="3" w:tplc="4FC6B588">
      <w:numFmt w:val="decimal"/>
      <w:lvlText w:val=""/>
      <w:lvlJc w:val="left"/>
    </w:lvl>
    <w:lvl w:ilvl="4" w:tplc="A1CEDAB2">
      <w:numFmt w:val="decimal"/>
      <w:lvlText w:val=""/>
      <w:lvlJc w:val="left"/>
    </w:lvl>
    <w:lvl w:ilvl="5" w:tplc="5CBAB56C">
      <w:numFmt w:val="decimal"/>
      <w:lvlText w:val=""/>
      <w:lvlJc w:val="left"/>
    </w:lvl>
    <w:lvl w:ilvl="6" w:tplc="8A88FBEE">
      <w:numFmt w:val="decimal"/>
      <w:lvlText w:val=""/>
      <w:lvlJc w:val="left"/>
    </w:lvl>
    <w:lvl w:ilvl="7" w:tplc="77685C64">
      <w:numFmt w:val="decimal"/>
      <w:lvlText w:val=""/>
      <w:lvlJc w:val="left"/>
    </w:lvl>
    <w:lvl w:ilvl="8" w:tplc="CF1AC18C">
      <w:numFmt w:val="decimal"/>
      <w:lvlText w:val=""/>
      <w:lvlJc w:val="left"/>
    </w:lvl>
  </w:abstractNum>
  <w:abstractNum w:abstractNumId="1" w15:restartNumberingAfterBreak="0">
    <w:nsid w:val="404678E2"/>
    <w:multiLevelType w:val="hybridMultilevel"/>
    <w:tmpl w:val="A34E8372"/>
    <w:lvl w:ilvl="0" w:tplc="33B64D48">
      <w:start w:val="1"/>
      <w:numFmt w:val="bullet"/>
      <w:lvlText w:val="●"/>
      <w:lvlJc w:val="left"/>
      <w:pPr>
        <w:ind w:left="720" w:hanging="360"/>
      </w:pPr>
    </w:lvl>
    <w:lvl w:ilvl="1" w:tplc="36D04FA4">
      <w:start w:val="1"/>
      <w:numFmt w:val="bullet"/>
      <w:lvlText w:val="○"/>
      <w:lvlJc w:val="left"/>
      <w:pPr>
        <w:ind w:left="1440" w:hanging="360"/>
      </w:pPr>
    </w:lvl>
    <w:lvl w:ilvl="2" w:tplc="A886CE7A">
      <w:start w:val="1"/>
      <w:numFmt w:val="bullet"/>
      <w:lvlText w:val="■"/>
      <w:lvlJc w:val="left"/>
      <w:pPr>
        <w:ind w:left="2160" w:hanging="360"/>
      </w:pPr>
    </w:lvl>
    <w:lvl w:ilvl="3" w:tplc="AE2203DE">
      <w:start w:val="1"/>
      <w:numFmt w:val="bullet"/>
      <w:lvlText w:val="●"/>
      <w:lvlJc w:val="left"/>
      <w:pPr>
        <w:ind w:left="2880" w:hanging="360"/>
      </w:pPr>
    </w:lvl>
    <w:lvl w:ilvl="4" w:tplc="B9707D9E">
      <w:start w:val="1"/>
      <w:numFmt w:val="bullet"/>
      <w:lvlText w:val="○"/>
      <w:lvlJc w:val="left"/>
      <w:pPr>
        <w:ind w:left="3600" w:hanging="360"/>
      </w:pPr>
    </w:lvl>
    <w:lvl w:ilvl="5" w:tplc="9ACE7CBA">
      <w:start w:val="1"/>
      <w:numFmt w:val="bullet"/>
      <w:lvlText w:val="■"/>
      <w:lvlJc w:val="left"/>
      <w:pPr>
        <w:ind w:left="4320" w:hanging="360"/>
      </w:pPr>
    </w:lvl>
    <w:lvl w:ilvl="6" w:tplc="5FF809F0">
      <w:start w:val="1"/>
      <w:numFmt w:val="bullet"/>
      <w:lvlText w:val="●"/>
      <w:lvlJc w:val="left"/>
      <w:pPr>
        <w:ind w:left="5040" w:hanging="360"/>
      </w:pPr>
    </w:lvl>
    <w:lvl w:ilvl="7" w:tplc="B7AE47F6">
      <w:start w:val="1"/>
      <w:numFmt w:val="bullet"/>
      <w:lvlText w:val="●"/>
      <w:lvlJc w:val="left"/>
      <w:pPr>
        <w:ind w:left="5760" w:hanging="360"/>
      </w:pPr>
    </w:lvl>
    <w:lvl w:ilvl="8" w:tplc="FA264936">
      <w:start w:val="1"/>
      <w:numFmt w:val="bullet"/>
      <w:lvlText w:val="●"/>
      <w:lvlJc w:val="left"/>
      <w:pPr>
        <w:ind w:left="6480" w:hanging="360"/>
      </w:pPr>
    </w:lvl>
  </w:abstractNum>
  <w:num w:numId="1" w16cid:durableId="421950374">
    <w:abstractNumId w:val="1"/>
    <w:lvlOverride w:ilvl="0">
      <w:startOverride w:val="1"/>
    </w:lvlOverride>
  </w:num>
  <w:num w:numId="2" w16cid:durableId="546684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93E"/>
    <w:rsid w:val="000B2B76"/>
    <w:rsid w:val="000C6268"/>
    <w:rsid w:val="00113E36"/>
    <w:rsid w:val="003B15E7"/>
    <w:rsid w:val="003F782A"/>
    <w:rsid w:val="005B5C84"/>
    <w:rsid w:val="007040F0"/>
    <w:rsid w:val="007310B0"/>
    <w:rsid w:val="007B4251"/>
    <w:rsid w:val="00846C50"/>
    <w:rsid w:val="008770E2"/>
    <w:rsid w:val="008F1BC8"/>
    <w:rsid w:val="0092666C"/>
    <w:rsid w:val="00A14637"/>
    <w:rsid w:val="00A371DB"/>
    <w:rsid w:val="00A535FE"/>
    <w:rsid w:val="00A64FB9"/>
    <w:rsid w:val="00A85783"/>
    <w:rsid w:val="00BE6553"/>
    <w:rsid w:val="00CA578F"/>
    <w:rsid w:val="00CB2EE3"/>
    <w:rsid w:val="00D77AFC"/>
    <w:rsid w:val="00E60444"/>
    <w:rsid w:val="00ED3FA6"/>
    <w:rsid w:val="00F4793E"/>
    <w:rsid w:val="00F644EC"/>
    <w:rsid w:val="00F8525D"/>
    <w:rsid w:val="00F9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A3563"/>
  <w15:docId w15:val="{9E52173F-F886-4CF9-81CB-D5F341338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anumGothic" w:eastAsia="NanumGothic" w:hAnsi="NanumGothic" w:cs="NanumGothic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1BC8"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uiPriority w:val="9"/>
    <w:qFormat/>
    <w:pPr>
      <w:spacing w:before="300" w:after="140"/>
      <w:outlineLvl w:val="0"/>
    </w:pPr>
    <w:rPr>
      <w:b/>
      <w:bCs/>
      <w:color w:val="FFFFFF"/>
      <w:sz w:val="26"/>
      <w:szCs w:val="26"/>
    </w:rPr>
  </w:style>
  <w:style w:type="paragraph" w:styleId="2">
    <w:name w:val="heading 2"/>
    <w:link w:val="2Char"/>
    <w:uiPriority w:val="9"/>
    <w:unhideWhenUsed/>
    <w:qFormat/>
    <w:pPr>
      <w:spacing w:before="220" w:after="80"/>
      <w:outlineLvl w:val="1"/>
    </w:pPr>
    <w:rPr>
      <w:b/>
      <w:bCs/>
      <w:color w:val="2E75B6"/>
      <w:sz w:val="23"/>
      <w:szCs w:val="23"/>
    </w:rPr>
  </w:style>
  <w:style w:type="paragraph" w:styleId="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0404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customStyle="1" w:styleId="1Char">
    <w:name w:val="제목 1 Char"/>
    <w:basedOn w:val="a0"/>
    <w:link w:val="1"/>
    <w:uiPriority w:val="9"/>
    <w:rsid w:val="00CB2EE3"/>
    <w:rPr>
      <w:b/>
      <w:bCs/>
      <w:color w:val="FFFFFF"/>
      <w:sz w:val="26"/>
      <w:szCs w:val="26"/>
    </w:rPr>
  </w:style>
  <w:style w:type="character" w:customStyle="1" w:styleId="2Char">
    <w:name w:val="제목 2 Char"/>
    <w:basedOn w:val="a0"/>
    <w:link w:val="2"/>
    <w:uiPriority w:val="9"/>
    <w:rsid w:val="00CB2EE3"/>
    <w:rPr>
      <w:b/>
      <w:bCs/>
      <w:color w:val="2E75B6"/>
      <w:sz w:val="23"/>
      <w:szCs w:val="23"/>
    </w:rPr>
  </w:style>
  <w:style w:type="table" w:styleId="aa">
    <w:name w:val="Table Grid"/>
    <w:basedOn w:val="a1"/>
    <w:uiPriority w:val="39"/>
    <w:rsid w:val="008F1B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1"/>
    <w:uiPriority w:val="99"/>
    <w:unhideWhenUsed/>
    <w:rsid w:val="00E6044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E60444"/>
  </w:style>
  <w:style w:type="paragraph" w:styleId="ac">
    <w:name w:val="footer"/>
    <w:basedOn w:val="a"/>
    <w:link w:val="Char2"/>
    <w:uiPriority w:val="99"/>
    <w:unhideWhenUsed/>
    <w:rsid w:val="00E6044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E604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1881F-446E-4D9E-A089-EA23E4AB5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유한나</dc:creator>
  <cp:lastModifiedBy>유한나</cp:lastModifiedBy>
  <cp:revision>24</cp:revision>
  <dcterms:created xsi:type="dcterms:W3CDTF">2026-04-12T15:34:00Z</dcterms:created>
  <dcterms:modified xsi:type="dcterms:W3CDTF">2026-04-15T14:39:00Z</dcterms:modified>
</cp:coreProperties>
</file>