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9110" w14:textId="77777777" w:rsidR="003275C7" w:rsidRDefault="00000000">
      <w:pPr>
        <w:spacing w:after="80"/>
        <w:jc w:val="center"/>
        <w:rPr>
          <w:lang w:eastAsia="ko-KR"/>
        </w:rPr>
      </w:pPr>
      <w:r>
        <w:rPr>
          <w:rFonts w:ascii="맑은 고딕" w:eastAsia="맑은 고딕" w:hAnsi="맑은 고딕"/>
          <w:b/>
          <w:sz w:val="30"/>
          <w:lang w:eastAsia="ko-KR"/>
        </w:rPr>
        <w:t>EU 인공지능법의 브뤼셀 효과와 한국 인공지능기본법의 구조적 수렴</w:t>
      </w:r>
    </w:p>
    <w:p w14:paraId="3117E0F7" w14:textId="77777777" w:rsidR="003275C7" w:rsidRDefault="00000000">
      <w:pPr>
        <w:jc w:val="center"/>
        <w:rPr>
          <w:lang w:eastAsia="ko-KR"/>
        </w:rPr>
      </w:pPr>
      <w:r>
        <w:rPr>
          <w:rFonts w:ascii="맑은 고딕" w:eastAsia="맑은 고딕" w:hAnsi="맑은 고딕"/>
          <w:b/>
          <w:sz w:val="24"/>
          <w:lang w:eastAsia="ko-KR"/>
        </w:rPr>
        <w:t>— 비대칭적 정합의 한계와 선별적 상향의 필요성 —</w:t>
      </w:r>
    </w:p>
    <w:p w14:paraId="7C1E2883" w14:textId="77777777" w:rsidR="003275C7" w:rsidRDefault="00000000">
      <w:pPr>
        <w:spacing w:after="280"/>
        <w:jc w:val="center"/>
        <w:rPr>
          <w:rFonts w:ascii="바탕" w:eastAsia="바탕" w:hAnsi="바탕"/>
          <w:sz w:val="18"/>
          <w:lang w:eastAsia="ko-KR"/>
        </w:rPr>
      </w:pPr>
      <w:r>
        <w:rPr>
          <w:rFonts w:ascii="바탕" w:eastAsia="바탕" w:hAnsi="바탕"/>
          <w:sz w:val="18"/>
          <w:lang w:eastAsia="ko-KR"/>
        </w:rPr>
        <w:t xml:space="preserve">AI 거버넌스 — 관련 법과 </w:t>
      </w:r>
      <w:proofErr w:type="gramStart"/>
      <w:r>
        <w:rPr>
          <w:rFonts w:ascii="바탕" w:eastAsia="바탕" w:hAnsi="바탕"/>
          <w:sz w:val="18"/>
          <w:lang w:eastAsia="ko-KR"/>
        </w:rPr>
        <w:t>국제표준  |</w:t>
      </w:r>
      <w:proofErr w:type="gramEnd"/>
      <w:r>
        <w:rPr>
          <w:rFonts w:ascii="바탕" w:eastAsia="바탕" w:hAnsi="바탕"/>
          <w:sz w:val="18"/>
          <w:lang w:eastAsia="ko-KR"/>
        </w:rPr>
        <w:t xml:space="preserve">  건국대학교 공학대학원 AI</w:t>
      </w:r>
      <w:proofErr w:type="gramStart"/>
      <w:r>
        <w:rPr>
          <w:rFonts w:ascii="바탕" w:eastAsia="바탕" w:hAnsi="바탕"/>
          <w:sz w:val="18"/>
          <w:lang w:eastAsia="ko-KR"/>
        </w:rPr>
        <w:t>전공  |</w:t>
      </w:r>
      <w:proofErr w:type="gramEnd"/>
      <w:r>
        <w:rPr>
          <w:rFonts w:ascii="바탕" w:eastAsia="바탕" w:hAnsi="바탕"/>
          <w:sz w:val="18"/>
          <w:lang w:eastAsia="ko-KR"/>
        </w:rPr>
        <w:t xml:space="preserve">  2026학년도 1학기</w:t>
      </w:r>
    </w:p>
    <w:p w14:paraId="2C05200E" w14:textId="77777777" w:rsidR="003275C7" w:rsidRDefault="00000000">
      <w:pPr>
        <w:spacing w:after="280"/>
        <w:jc w:val="center"/>
        <w:rPr>
          <w:lang w:eastAsia="ko-KR"/>
        </w:rPr>
      </w:pPr>
      <w:proofErr w:type="gramStart"/>
      <w:r>
        <w:rPr>
          <w:rFonts w:ascii="바탕" w:eastAsia="바탕" w:hAnsi="바탕"/>
          <w:sz w:val="18"/>
          <w:lang w:eastAsia="ko-KR"/>
        </w:rPr>
        <w:t>작성자 :</w:t>
      </w:r>
      <w:proofErr w:type="gramEnd"/>
      <w:r>
        <w:rPr>
          <w:rFonts w:ascii="바탕" w:eastAsia="바탕" w:hAnsi="바탕"/>
          <w:sz w:val="18"/>
          <w:lang w:eastAsia="ko-KR"/>
        </w:rPr>
        <w:t xml:space="preserve"> 황태욱(202476635)</w:t>
      </w:r>
    </w:p>
    <w:p w14:paraId="5BAB734E" w14:textId="77777777" w:rsidR="003275C7" w:rsidRDefault="00000000">
      <w:pPr>
        <w:spacing w:before="240" w:after="120" w:line="240" w:lineRule="auto"/>
        <w:rPr>
          <w:lang w:eastAsia="ko-KR"/>
        </w:rPr>
      </w:pPr>
      <w:r>
        <w:rPr>
          <w:rFonts w:ascii="맑은 고딕" w:eastAsia="맑은 고딕" w:hAnsi="맑은 고딕"/>
          <w:b/>
          <w:sz w:val="26"/>
          <w:lang w:eastAsia="ko-KR"/>
        </w:rPr>
        <w:t>I. 서론</w:t>
      </w:r>
    </w:p>
    <w:p w14:paraId="5B735658" w14:textId="77777777" w:rsidR="003275C7" w:rsidRDefault="00000000">
      <w:pPr>
        <w:spacing w:after="0" w:line="360" w:lineRule="auto"/>
        <w:ind w:firstLine="567"/>
        <w:jc w:val="both"/>
        <w:rPr>
          <w:lang w:eastAsia="ko-KR"/>
        </w:rPr>
      </w:pPr>
      <w:r>
        <w:rPr>
          <w:rFonts w:ascii="바탕" w:eastAsia="바탕" w:hAnsi="바탕"/>
          <w:sz w:val="20"/>
          <w:lang w:eastAsia="ko-KR"/>
        </w:rPr>
        <w:t>2024년 8월 1일 발효된 유럽연합의 「인공지능법」(Regulation (EU) 2024/1689, 이하 “EU AI Act”)은 인공지능에 대한 세계 최초의 포괄적 규제 법제이자, 그 적용범위를 역외로 확장한 제2조 제1항을 통해 EU 경계 밖 제공자에게까지 직접적 구속력을 행사하는 구조를 내장한다.[1] 이러한 구조는 GDPR의 사례에서 이미 관찰된 바 있는, 이른바 “브뤼셀 효과(Brussels Effect)”의 재현 가능성을 강하게 시사한다.[2]</w:t>
      </w:r>
    </w:p>
    <w:p w14:paraId="72C45418" w14:textId="77777777" w:rsidR="003275C7" w:rsidRDefault="00000000">
      <w:pPr>
        <w:spacing w:after="0" w:line="360" w:lineRule="auto"/>
        <w:ind w:firstLine="567"/>
        <w:jc w:val="both"/>
        <w:rPr>
          <w:lang w:eastAsia="ko-KR"/>
        </w:rPr>
      </w:pPr>
      <w:r>
        <w:rPr>
          <w:rFonts w:ascii="바탕" w:eastAsia="바탕" w:hAnsi="바탕"/>
          <w:sz w:val="20"/>
          <w:lang w:eastAsia="ko-KR"/>
        </w:rPr>
        <w:t xml:space="preserve">한국은 2026년 1월 22일 「인공지능 발전과 신뢰 기반 조성 등에 관한 기본법」(법률 제20676호, 이하 “AI 기본법”)을 시행함으로써 “EU AI Act에 이은 세계 두 번째 AI 포괄 규제 법제”를 마련하였다.[3] 그러나 두 법제 간 정합의 실체와 그 경계는 법학적 관점에서 충분히 해명되지 않고 있다. 본고는 다음 세 연구문제를 설정한다. 첫째, 한국 AI 기본법은 EU AI Act를 어느 규범적 차원까지 </w:t>
      </w:r>
      <w:proofErr w:type="gramStart"/>
      <w:r>
        <w:rPr>
          <w:rFonts w:ascii="바탕" w:eastAsia="바탕" w:hAnsi="바탕"/>
          <w:sz w:val="20"/>
          <w:lang w:eastAsia="ko-KR"/>
        </w:rPr>
        <w:t>차용하였는가.</w:t>
      </w:r>
      <w:proofErr w:type="gramEnd"/>
      <w:r>
        <w:rPr>
          <w:rFonts w:ascii="바탕" w:eastAsia="바탕" w:hAnsi="바탕"/>
          <w:sz w:val="20"/>
          <w:lang w:eastAsia="ko-KR"/>
        </w:rPr>
        <w:t xml:space="preserve"> 둘째, 차용과 이탈의 경계는 어떻게 </w:t>
      </w:r>
      <w:proofErr w:type="gramStart"/>
      <w:r>
        <w:rPr>
          <w:rFonts w:ascii="바탕" w:eastAsia="바탕" w:hAnsi="바탕"/>
          <w:sz w:val="20"/>
          <w:lang w:eastAsia="ko-KR"/>
        </w:rPr>
        <w:t>설정되었는가.</w:t>
      </w:r>
      <w:proofErr w:type="gramEnd"/>
      <w:r>
        <w:rPr>
          <w:rFonts w:ascii="바탕" w:eastAsia="바탕" w:hAnsi="바탕"/>
          <w:sz w:val="20"/>
          <w:lang w:eastAsia="ko-KR"/>
        </w:rPr>
        <w:t xml:space="preserve"> 셋째, 이 비대칭은 한국 기업·이용자·국제규범 질서에 어떠한 함의를 </w:t>
      </w:r>
      <w:proofErr w:type="gramStart"/>
      <w:r>
        <w:rPr>
          <w:rFonts w:ascii="바탕" w:eastAsia="바탕" w:hAnsi="바탕"/>
          <w:sz w:val="20"/>
          <w:lang w:eastAsia="ko-KR"/>
        </w:rPr>
        <w:t>가지는가.</w:t>
      </w:r>
      <w:proofErr w:type="gramEnd"/>
      <w:r>
        <w:rPr>
          <w:rFonts w:ascii="바탕" w:eastAsia="바탕" w:hAnsi="바탕"/>
          <w:sz w:val="20"/>
          <w:lang w:eastAsia="ko-KR"/>
        </w:rPr>
        <w:t xml:space="preserve"> 분석방법으로는 양 법제의 조문 대조를 통한 비교법적 분석과 GDPR 수용 선례와의 구조적 유비 추론을 병행한다.</w:t>
      </w:r>
    </w:p>
    <w:p w14:paraId="70DB0CA9" w14:textId="77777777" w:rsidR="003275C7" w:rsidRDefault="00000000">
      <w:pPr>
        <w:spacing w:after="0" w:line="360" w:lineRule="auto"/>
        <w:ind w:firstLine="567"/>
        <w:jc w:val="both"/>
        <w:rPr>
          <w:lang w:eastAsia="ko-KR"/>
        </w:rPr>
      </w:pPr>
      <w:r>
        <w:rPr>
          <w:rFonts w:ascii="바탕" w:eastAsia="바탕" w:hAnsi="바탕"/>
          <w:sz w:val="20"/>
          <w:lang w:eastAsia="ko-KR"/>
        </w:rPr>
        <w:t>본고의 중심 명제는 다음과 같다. 한국 AI 기본법은 EU AI Act의 아키텍처를 광범위하게 이식하는 데 성공하였으나, 제재·사전통제·개념체계 등 실체적 차원에서는 의도적으로 수렴을 회피하였다. 이 비대칭은 이중규제 부담·이용자 보호 공백·규제 상호운용성 저해의 삼중 리스크로 전환되며, 따라서 합리적 설계 기준 위에서의 선별적 상향이 요청된다.</w:t>
      </w:r>
    </w:p>
    <w:p w14:paraId="1E81979F" w14:textId="77777777" w:rsidR="003275C7" w:rsidRDefault="00000000">
      <w:pPr>
        <w:spacing w:before="240" w:after="120" w:line="240" w:lineRule="auto"/>
        <w:rPr>
          <w:lang w:eastAsia="ko-KR"/>
        </w:rPr>
      </w:pPr>
      <w:r>
        <w:rPr>
          <w:rFonts w:ascii="맑은 고딕" w:eastAsia="맑은 고딕" w:hAnsi="맑은 고딕"/>
          <w:b/>
          <w:sz w:val="26"/>
          <w:lang w:eastAsia="ko-KR"/>
        </w:rPr>
        <w:t>II. 이론적 배경 — 브뤼셀 효과의 재구성</w:t>
      </w:r>
    </w:p>
    <w:p w14:paraId="6CA27BB6" w14:textId="77777777" w:rsidR="003275C7" w:rsidRDefault="00000000">
      <w:pPr>
        <w:spacing w:after="0" w:line="360" w:lineRule="auto"/>
        <w:ind w:firstLine="567"/>
        <w:jc w:val="both"/>
        <w:rPr>
          <w:lang w:eastAsia="ko-KR"/>
        </w:rPr>
      </w:pPr>
      <w:r>
        <w:rPr>
          <w:rFonts w:ascii="바탕" w:eastAsia="바탕" w:hAnsi="바탕"/>
          <w:b/>
          <w:bCs/>
          <w:sz w:val="20"/>
          <w:lang w:eastAsia="ko-KR"/>
        </w:rPr>
        <w:t>Bradford가 2012년 이론화한 “브뤼셀 효과”는, EU가 규제 기준을 수출하지 않더라도 비EU 기업이 자발적으로 EU 기준을 글로벌 단일 기준으로 채택하고 뒤이어 비EU 입법자가 EU 규범을 자국 법제에 이식하는 현상을 가리킨다</w:t>
      </w:r>
      <w:r>
        <w:rPr>
          <w:rFonts w:ascii="바탕" w:eastAsia="바탕" w:hAnsi="바탕"/>
          <w:sz w:val="20"/>
          <w:lang w:eastAsia="ko-KR"/>
        </w:rPr>
        <w:t>.[4] Bradford는 2020년 저서에서 이를 de facto 브뤼셀 효과(기업 차원의 자발적 수렴)와 de jure 브뤼셀 효과(입법자 차원의 자발적 수렴)로 구분하였다.[5] 이 효과의 성립은 ① 큰 시장 규모, ② 규제 역량, ③ 엄격한 기준, ④ 비탄력적 규제 대상, ⑤ 규제의 비분리성(non-divisibility)이라는 다섯 조건의 동시 충족을 전제로 한다.[6]</w:t>
      </w:r>
    </w:p>
    <w:p w14:paraId="3070E3DD" w14:textId="77777777" w:rsidR="003275C7" w:rsidRDefault="00000000">
      <w:pPr>
        <w:spacing w:after="0" w:line="360" w:lineRule="auto"/>
        <w:ind w:firstLine="567"/>
        <w:jc w:val="both"/>
        <w:rPr>
          <w:lang w:eastAsia="ko-KR"/>
        </w:rPr>
      </w:pPr>
      <w:r>
        <w:rPr>
          <w:rFonts w:ascii="바탕" w:eastAsia="바탕" w:hAnsi="바탕"/>
          <w:sz w:val="20"/>
          <w:lang w:eastAsia="ko-KR"/>
        </w:rPr>
        <w:t xml:space="preserve">GDPR은 이 다섯 조건을 동시에 충족한 대표 사례이며, 한국 「개인정보 보호법」의 2023년 개정 — 자동화된 결정에 대한 정보주체의 권리 신설과 과징금 체계의 매출 연동 상향 — 은 de jure </w:t>
      </w:r>
      <w:r>
        <w:rPr>
          <w:rFonts w:ascii="바탕" w:eastAsia="바탕" w:hAnsi="바탕"/>
          <w:sz w:val="20"/>
          <w:lang w:eastAsia="ko-KR"/>
        </w:rPr>
        <w:lastRenderedPageBreak/>
        <w:t>브뤼셀 효과의 실증 사례로 평가된다.[7] 요컨대 한국은 이미 한 차례 EU 규범의 자발적 이식을 경험한 법역이다.</w:t>
      </w:r>
    </w:p>
    <w:p w14:paraId="75E25ABE" w14:textId="77777777" w:rsidR="003275C7" w:rsidRDefault="00000000">
      <w:pPr>
        <w:spacing w:after="0" w:line="360" w:lineRule="auto"/>
        <w:ind w:firstLine="567"/>
        <w:jc w:val="both"/>
        <w:rPr>
          <w:lang w:eastAsia="ko-KR"/>
        </w:rPr>
      </w:pPr>
      <w:r>
        <w:rPr>
          <w:rFonts w:ascii="바탕" w:eastAsia="바탕" w:hAnsi="바탕"/>
          <w:sz w:val="20"/>
          <w:lang w:eastAsia="ko-KR"/>
        </w:rPr>
        <w:t>AI Act로의 확장 가능성은 GDPR보다 오히려 강하다. 파운데이션 모델 기반 AI 시스템은 단일 모델이 글로벌 단일 배포되는 구조이므로 시장별 규제 분리가 기술적으로 비용이 크고, 이는 비분리성 조건을 자연적으로 충족한다. EU 시장 진출을 포기하지 않는 한 사업자는 EU 기준을 글로벌 기본값으로 채택할 유인이 강하게 발생하며, 이는 입법자의 de jure 수렴 유인을 증폭시킨다.[8]</w:t>
      </w:r>
    </w:p>
    <w:p w14:paraId="07C0137A" w14:textId="77777777" w:rsidR="003275C7" w:rsidRDefault="00000000">
      <w:pPr>
        <w:spacing w:before="240" w:after="120" w:line="240" w:lineRule="auto"/>
        <w:rPr>
          <w:lang w:eastAsia="ko-KR"/>
        </w:rPr>
      </w:pPr>
      <w:r>
        <w:rPr>
          <w:rFonts w:ascii="맑은 고딕" w:eastAsia="맑은 고딕" w:hAnsi="맑은 고딕"/>
          <w:b/>
          <w:sz w:val="26"/>
          <w:lang w:eastAsia="ko-KR"/>
        </w:rPr>
        <w:t>III. 구조적 수렴의 조문적 증거</w:t>
      </w:r>
    </w:p>
    <w:p w14:paraId="6EB7EAE3" w14:textId="77777777" w:rsidR="003275C7" w:rsidRDefault="00000000">
      <w:pPr>
        <w:spacing w:after="0" w:line="360" w:lineRule="auto"/>
        <w:ind w:firstLine="567"/>
        <w:jc w:val="both"/>
        <w:rPr>
          <w:lang w:eastAsia="ko-KR"/>
        </w:rPr>
      </w:pPr>
      <w:r>
        <w:rPr>
          <w:rFonts w:ascii="바탕" w:eastAsia="바탕" w:hAnsi="바탕"/>
          <w:sz w:val="20"/>
          <w:lang w:eastAsia="ko-KR"/>
        </w:rPr>
        <w:t>한국 AI 기본법을 EU AI Act와 조문 차원에서 대조하면 양자 간 평행이 단순한 개념적 유사성을 넘어 조항 배치·표현·규율 대상 수준에서 드러난다.</w:t>
      </w:r>
    </w:p>
    <w:p w14:paraId="20BAEFD1" w14:textId="77777777" w:rsidR="003275C7" w:rsidRDefault="00000000">
      <w:pPr>
        <w:spacing w:before="80" w:after="40"/>
        <w:jc w:val="center"/>
        <w:rPr>
          <w:lang w:eastAsia="ko-KR"/>
        </w:rPr>
      </w:pPr>
      <w:r>
        <w:rPr>
          <w:rFonts w:ascii="맑은 고딕" w:eastAsia="맑은 고딕" w:hAnsi="맑은 고딕"/>
          <w:b/>
          <w:sz w:val="18"/>
          <w:lang w:eastAsia="ko-KR"/>
        </w:rPr>
        <w:t>[표 1] EU AI Act와 한국 AI 기본법의 구조적 평행</w:t>
      </w:r>
    </w:p>
    <w:tbl>
      <w:tblPr>
        <w:tblStyle w:val="-11"/>
        <w:tblW w:w="0" w:type="auto"/>
        <w:tblLook w:val="04A0" w:firstRow="1" w:lastRow="0" w:firstColumn="1" w:lastColumn="0" w:noHBand="0" w:noVBand="1"/>
      </w:tblPr>
      <w:tblGrid>
        <w:gridCol w:w="2268"/>
        <w:gridCol w:w="2268"/>
        <w:gridCol w:w="2268"/>
        <w:gridCol w:w="2268"/>
      </w:tblGrid>
      <w:tr w:rsidR="003275C7" w14:paraId="420CAD96" w14:textId="77777777" w:rsidTr="00327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E8EE763" w14:textId="77777777" w:rsidR="003275C7" w:rsidRDefault="00000000">
            <w:pPr>
              <w:spacing w:before="40" w:after="40"/>
              <w:jc w:val="center"/>
            </w:pPr>
            <w:r>
              <w:rPr>
                <w:rFonts w:ascii="바탕" w:eastAsia="바탕" w:hAnsi="바탕"/>
                <w:sz w:val="18"/>
              </w:rPr>
              <w:t>규범 영역</w:t>
            </w:r>
          </w:p>
        </w:tc>
        <w:tc>
          <w:tcPr>
            <w:tcW w:w="2268" w:type="dxa"/>
            <w:vAlign w:val="center"/>
          </w:tcPr>
          <w:p w14:paraId="0B4F9F3A" w14:textId="77777777" w:rsidR="003275C7"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바탕" w:eastAsia="바탕" w:hAnsi="바탕"/>
                <w:sz w:val="18"/>
              </w:rPr>
              <w:t>한국 AI 기본법</w:t>
            </w:r>
          </w:p>
        </w:tc>
        <w:tc>
          <w:tcPr>
            <w:tcW w:w="2268" w:type="dxa"/>
            <w:vAlign w:val="center"/>
          </w:tcPr>
          <w:p w14:paraId="089C3AE2" w14:textId="77777777" w:rsidR="003275C7"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바탕" w:eastAsia="바탕" w:hAnsi="바탕"/>
                <w:sz w:val="18"/>
              </w:rPr>
              <w:t>EU AI Act</w:t>
            </w:r>
          </w:p>
        </w:tc>
        <w:tc>
          <w:tcPr>
            <w:tcW w:w="2268" w:type="dxa"/>
            <w:vAlign w:val="center"/>
          </w:tcPr>
          <w:p w14:paraId="6C8B962A" w14:textId="77777777" w:rsidR="003275C7"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바탕" w:eastAsia="바탕" w:hAnsi="바탕"/>
                <w:sz w:val="18"/>
              </w:rPr>
              <w:t>관계</w:t>
            </w:r>
          </w:p>
        </w:tc>
      </w:tr>
      <w:tr w:rsidR="003275C7" w14:paraId="79ED9CA9" w14:textId="77777777" w:rsidTr="0032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B6C35B8" w14:textId="77777777" w:rsidR="003275C7" w:rsidRDefault="00000000">
            <w:pPr>
              <w:spacing w:before="40" w:after="40"/>
              <w:jc w:val="center"/>
            </w:pPr>
            <w:r>
              <w:rPr>
                <w:rFonts w:ascii="바탕" w:eastAsia="바탕" w:hAnsi="바탕"/>
                <w:b w:val="0"/>
                <w:sz w:val="18"/>
              </w:rPr>
              <w:t>역외적용</w:t>
            </w:r>
          </w:p>
        </w:tc>
        <w:tc>
          <w:tcPr>
            <w:tcW w:w="2268" w:type="dxa"/>
            <w:vAlign w:val="center"/>
          </w:tcPr>
          <w:p w14:paraId="0155D912"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제4조 제1항</w:t>
            </w:r>
          </w:p>
        </w:tc>
        <w:tc>
          <w:tcPr>
            <w:tcW w:w="2268" w:type="dxa"/>
            <w:vAlign w:val="center"/>
          </w:tcPr>
          <w:p w14:paraId="55753984"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Art. 2(1)</w:t>
            </w:r>
          </w:p>
        </w:tc>
        <w:tc>
          <w:tcPr>
            <w:tcW w:w="2268" w:type="dxa"/>
            <w:vAlign w:val="center"/>
          </w:tcPr>
          <w:p w14:paraId="0D2C5CB7"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직접 차용</w:t>
            </w:r>
          </w:p>
        </w:tc>
      </w:tr>
      <w:tr w:rsidR="003275C7" w14:paraId="1AF50B2A" w14:textId="77777777" w:rsidTr="003275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BA00AD6" w14:textId="77777777" w:rsidR="003275C7" w:rsidRDefault="00000000">
            <w:pPr>
              <w:spacing w:before="40" w:after="40"/>
              <w:jc w:val="center"/>
            </w:pPr>
            <w:r>
              <w:rPr>
                <w:rFonts w:ascii="바탕" w:eastAsia="바탕" w:hAnsi="바탕"/>
                <w:b w:val="0"/>
                <w:sz w:val="18"/>
              </w:rPr>
              <w:t>국외 사업자 대리인</w:t>
            </w:r>
          </w:p>
        </w:tc>
        <w:tc>
          <w:tcPr>
            <w:tcW w:w="2268" w:type="dxa"/>
            <w:vAlign w:val="center"/>
          </w:tcPr>
          <w:p w14:paraId="35CC8EEE"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제36조</w:t>
            </w:r>
          </w:p>
        </w:tc>
        <w:tc>
          <w:tcPr>
            <w:tcW w:w="2268" w:type="dxa"/>
            <w:vAlign w:val="center"/>
          </w:tcPr>
          <w:p w14:paraId="03941C7A"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Art. 22</w:t>
            </w:r>
          </w:p>
        </w:tc>
        <w:tc>
          <w:tcPr>
            <w:tcW w:w="2268" w:type="dxa"/>
            <w:vAlign w:val="center"/>
          </w:tcPr>
          <w:p w14:paraId="641529E4"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직접 차용</w:t>
            </w:r>
          </w:p>
        </w:tc>
      </w:tr>
      <w:tr w:rsidR="003275C7" w14:paraId="557AAF7E" w14:textId="77777777" w:rsidTr="0032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5B9FCFC" w14:textId="77777777" w:rsidR="003275C7" w:rsidRDefault="00000000">
            <w:pPr>
              <w:spacing w:before="40" w:after="40"/>
              <w:jc w:val="center"/>
              <w:rPr>
                <w:lang w:eastAsia="ko-KR"/>
              </w:rPr>
            </w:pPr>
            <w:r>
              <w:rPr>
                <w:rFonts w:ascii="바탕" w:eastAsia="바탕" w:hAnsi="바탕"/>
                <w:b w:val="0"/>
                <w:sz w:val="18"/>
                <w:lang w:eastAsia="ko-KR"/>
              </w:rPr>
              <w:t>GPAI 연산량 임계치</w:t>
            </w:r>
          </w:p>
        </w:tc>
        <w:tc>
          <w:tcPr>
            <w:tcW w:w="2268" w:type="dxa"/>
            <w:vAlign w:val="center"/>
          </w:tcPr>
          <w:p w14:paraId="0B2B2844"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rPr>
                <w:lang w:eastAsia="ko-KR"/>
              </w:rPr>
            </w:pPr>
            <w:r>
              <w:rPr>
                <w:rFonts w:ascii="바탕" w:eastAsia="바탕" w:hAnsi="바탕"/>
                <w:sz w:val="18"/>
                <w:lang w:eastAsia="ko-KR"/>
              </w:rPr>
              <w:t>시행령 제24조 (10²⁶ FLOPs)</w:t>
            </w:r>
          </w:p>
        </w:tc>
        <w:tc>
          <w:tcPr>
            <w:tcW w:w="2268" w:type="dxa"/>
            <w:vAlign w:val="center"/>
          </w:tcPr>
          <w:p w14:paraId="11B46E94"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Art. 51(2) (10²⁵ FLOPs)</w:t>
            </w:r>
          </w:p>
        </w:tc>
        <w:tc>
          <w:tcPr>
            <w:tcW w:w="2268" w:type="dxa"/>
            <w:vAlign w:val="center"/>
          </w:tcPr>
          <w:p w14:paraId="5202EE3E"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개념 차용, 수치 완화</w:t>
            </w:r>
          </w:p>
        </w:tc>
      </w:tr>
      <w:tr w:rsidR="003275C7" w14:paraId="521A9C76" w14:textId="77777777" w:rsidTr="003275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EAB4EFC" w14:textId="77777777" w:rsidR="003275C7" w:rsidRDefault="00000000">
            <w:pPr>
              <w:spacing w:before="40" w:after="40"/>
              <w:jc w:val="center"/>
            </w:pPr>
            <w:r>
              <w:rPr>
                <w:rFonts w:ascii="바탕" w:eastAsia="바탕" w:hAnsi="바탕"/>
                <w:b w:val="0"/>
                <w:sz w:val="18"/>
              </w:rPr>
              <w:t>고영향·고위험 영역</w:t>
            </w:r>
          </w:p>
        </w:tc>
        <w:tc>
          <w:tcPr>
            <w:tcW w:w="2268" w:type="dxa"/>
            <w:vAlign w:val="center"/>
          </w:tcPr>
          <w:p w14:paraId="6D020E0F"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제2조 10개 영역</w:t>
            </w:r>
          </w:p>
        </w:tc>
        <w:tc>
          <w:tcPr>
            <w:tcW w:w="2268" w:type="dxa"/>
            <w:vAlign w:val="center"/>
          </w:tcPr>
          <w:p w14:paraId="02E2409A"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Annex III 8개 영역</w:t>
            </w:r>
          </w:p>
        </w:tc>
        <w:tc>
          <w:tcPr>
            <w:tcW w:w="2268" w:type="dxa"/>
            <w:vAlign w:val="center"/>
          </w:tcPr>
          <w:p w14:paraId="3CD4FDD5"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상당 중첩</w:t>
            </w:r>
          </w:p>
        </w:tc>
      </w:tr>
      <w:tr w:rsidR="003275C7" w14:paraId="064C740C" w14:textId="77777777" w:rsidTr="0032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1F141AB" w14:textId="77777777" w:rsidR="003275C7" w:rsidRDefault="00000000">
            <w:pPr>
              <w:spacing w:before="40" w:after="40"/>
              <w:jc w:val="center"/>
            </w:pPr>
            <w:r>
              <w:rPr>
                <w:rFonts w:ascii="바탕" w:eastAsia="바탕" w:hAnsi="바탕"/>
                <w:b w:val="0"/>
                <w:sz w:val="18"/>
              </w:rPr>
              <w:t>투명성 의무</w:t>
            </w:r>
          </w:p>
        </w:tc>
        <w:tc>
          <w:tcPr>
            <w:tcW w:w="2268" w:type="dxa"/>
            <w:vAlign w:val="center"/>
          </w:tcPr>
          <w:p w14:paraId="7F711F0C"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제31조</w:t>
            </w:r>
          </w:p>
        </w:tc>
        <w:tc>
          <w:tcPr>
            <w:tcW w:w="2268" w:type="dxa"/>
            <w:vAlign w:val="center"/>
          </w:tcPr>
          <w:p w14:paraId="31C11F13"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Art. 50</w:t>
            </w:r>
          </w:p>
        </w:tc>
        <w:tc>
          <w:tcPr>
            <w:tcW w:w="2268" w:type="dxa"/>
            <w:vAlign w:val="center"/>
          </w:tcPr>
          <w:p w14:paraId="58D1DE5D"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구조 평행</w:t>
            </w:r>
          </w:p>
        </w:tc>
      </w:tr>
      <w:tr w:rsidR="003275C7" w14:paraId="026A37C3" w14:textId="77777777" w:rsidTr="003275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E0CB72B" w14:textId="77777777" w:rsidR="003275C7" w:rsidRDefault="00000000">
            <w:pPr>
              <w:spacing w:before="40" w:after="40"/>
              <w:jc w:val="center"/>
            </w:pPr>
            <w:r>
              <w:rPr>
                <w:rFonts w:ascii="바탕" w:eastAsia="바탕" w:hAnsi="바탕"/>
                <w:b w:val="0"/>
                <w:sz w:val="18"/>
              </w:rPr>
              <w:t>영향평가</w:t>
            </w:r>
          </w:p>
        </w:tc>
        <w:tc>
          <w:tcPr>
            <w:tcW w:w="2268" w:type="dxa"/>
            <w:vAlign w:val="center"/>
          </w:tcPr>
          <w:p w14:paraId="08DBB90D"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제35조</w:t>
            </w:r>
          </w:p>
        </w:tc>
        <w:tc>
          <w:tcPr>
            <w:tcW w:w="2268" w:type="dxa"/>
            <w:vAlign w:val="center"/>
          </w:tcPr>
          <w:p w14:paraId="7056E5B0"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Art. 27 (FRIA)</w:t>
            </w:r>
          </w:p>
        </w:tc>
        <w:tc>
          <w:tcPr>
            <w:tcW w:w="2268" w:type="dxa"/>
            <w:vAlign w:val="center"/>
          </w:tcPr>
          <w:p w14:paraId="50B67318"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구조 평행</w:t>
            </w:r>
          </w:p>
        </w:tc>
      </w:tr>
      <w:tr w:rsidR="003275C7" w14:paraId="7F04F911" w14:textId="77777777" w:rsidTr="0032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FE9F7BA" w14:textId="77777777" w:rsidR="003275C7" w:rsidRDefault="00000000">
            <w:pPr>
              <w:spacing w:before="40" w:after="40"/>
              <w:jc w:val="center"/>
            </w:pPr>
            <w:r>
              <w:rPr>
                <w:rFonts w:ascii="바탕" w:eastAsia="바탕" w:hAnsi="바탕"/>
                <w:b w:val="0"/>
                <w:sz w:val="18"/>
              </w:rPr>
              <w:t>사업자 위험관리 책무</w:t>
            </w:r>
          </w:p>
        </w:tc>
        <w:tc>
          <w:tcPr>
            <w:tcW w:w="2268" w:type="dxa"/>
            <w:vAlign w:val="center"/>
          </w:tcPr>
          <w:p w14:paraId="0DD163C8"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제34조</w:t>
            </w:r>
          </w:p>
        </w:tc>
        <w:tc>
          <w:tcPr>
            <w:tcW w:w="2268" w:type="dxa"/>
            <w:vAlign w:val="center"/>
          </w:tcPr>
          <w:p w14:paraId="34EDA588"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Art. 9</w:t>
            </w:r>
          </w:p>
        </w:tc>
        <w:tc>
          <w:tcPr>
            <w:tcW w:w="2268" w:type="dxa"/>
            <w:vAlign w:val="center"/>
          </w:tcPr>
          <w:p w14:paraId="1BF41CE3"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구조 평행</w:t>
            </w:r>
          </w:p>
        </w:tc>
      </w:tr>
      <w:tr w:rsidR="003275C7" w14:paraId="5A04F492" w14:textId="77777777" w:rsidTr="003275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CD401C0" w14:textId="77777777" w:rsidR="003275C7" w:rsidRDefault="00000000">
            <w:pPr>
              <w:spacing w:before="40" w:after="40"/>
              <w:jc w:val="center"/>
            </w:pPr>
            <w:r>
              <w:rPr>
                <w:rFonts w:ascii="바탕" w:eastAsia="바탕" w:hAnsi="바탕"/>
                <w:b w:val="0"/>
                <w:sz w:val="18"/>
              </w:rPr>
              <w:t>단계적 사고보고</w:t>
            </w:r>
          </w:p>
        </w:tc>
        <w:tc>
          <w:tcPr>
            <w:tcW w:w="2268" w:type="dxa"/>
            <w:vAlign w:val="center"/>
          </w:tcPr>
          <w:p w14:paraId="6C541743"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가이드라인(24h/7d/15d)</w:t>
            </w:r>
          </w:p>
        </w:tc>
        <w:tc>
          <w:tcPr>
            <w:tcW w:w="2268" w:type="dxa"/>
            <w:vAlign w:val="center"/>
          </w:tcPr>
          <w:p w14:paraId="710D508F"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Art. 73 (15d)</w:t>
            </w:r>
          </w:p>
        </w:tc>
        <w:tc>
          <w:tcPr>
            <w:tcW w:w="2268" w:type="dxa"/>
            <w:vAlign w:val="center"/>
          </w:tcPr>
          <w:p w14:paraId="26D87B75"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구조 평행</w:t>
            </w:r>
          </w:p>
        </w:tc>
      </w:tr>
    </w:tbl>
    <w:p w14:paraId="0B27604E" w14:textId="77777777" w:rsidR="003275C7" w:rsidRDefault="003275C7"/>
    <w:p w14:paraId="00A64CF5" w14:textId="77777777" w:rsidR="003275C7" w:rsidRDefault="00000000">
      <w:pPr>
        <w:spacing w:after="0" w:line="360" w:lineRule="auto"/>
        <w:ind w:firstLine="567"/>
        <w:jc w:val="both"/>
        <w:rPr>
          <w:lang w:eastAsia="ko-KR"/>
        </w:rPr>
      </w:pPr>
      <w:r>
        <w:rPr>
          <w:rFonts w:ascii="바탕" w:eastAsia="바탕" w:hAnsi="바탕"/>
          <w:sz w:val="20"/>
          <w:lang w:eastAsia="ko-KR"/>
        </w:rPr>
        <w:t>첫째, 역외적용 조항의 직접 차용. 한국 AI 기본법 제4조 제1항은 “이 법은 국외에서 이루어진 행위라도 국내 시장 또는 이용자에게 영향을 미치는 경우에는 적용한다”라고 규정한다.[9] 이 문언은 EU AI Act 제2조 제1항이 “AI 시스템의 산출물이 EU 내에서 사용되는 경우” 비EU 제공자에게 규정이 적용됨을 선언하는 논리와 규범적으로 동일하다. 한국 입법자는 “시장 기반 관할권(market-based jurisdiction)”이라는 EU의 역외적 적용 논리를 그대로 수용한 것이다.</w:t>
      </w:r>
    </w:p>
    <w:p w14:paraId="06E30476" w14:textId="77777777" w:rsidR="003275C7" w:rsidRDefault="00000000">
      <w:pPr>
        <w:spacing w:after="0" w:line="360" w:lineRule="auto"/>
        <w:ind w:firstLine="567"/>
        <w:jc w:val="both"/>
        <w:rPr>
          <w:lang w:eastAsia="ko-KR"/>
        </w:rPr>
      </w:pPr>
      <w:r>
        <w:rPr>
          <w:rFonts w:ascii="바탕" w:eastAsia="바탕" w:hAnsi="바탕"/>
          <w:sz w:val="20"/>
          <w:lang w:eastAsia="ko-KR"/>
        </w:rPr>
        <w:t>둘째, 국내대리인 제도의 이중 이식. 한국 AI 기본법 제36조는 국내에 주소 또는 영업소가 없는 인공지능사업자 중 대통령령이 정하는 기준에 해당하는 자에게 국내대리인을 서면으로 지정·신고할 의무를 부과하며, 같은 조 제3항은 국내대리인의 위반행위를 본인 사업자의 행위로 간주하는 법률의제를 둔다.[10] 시행령 제29조는 이 기준을 전년도 매출 1조원 이상 또는 인공지능 서비스 매출 100억원 이상 또는 일평균 이용자 100만명 이상 등으로 구체화한다.[11] 이는 EU AI Act 제22조의 수권대리인(authorised representative) 제도와 GDPR 제27조의 역외 사업자 대리인 제도를 경유한 이중 이식에 해당한다.</w:t>
      </w:r>
    </w:p>
    <w:p w14:paraId="4E2ED1D9" w14:textId="77777777" w:rsidR="003275C7" w:rsidRDefault="00000000">
      <w:pPr>
        <w:spacing w:after="0" w:line="360" w:lineRule="auto"/>
        <w:ind w:firstLine="567"/>
        <w:jc w:val="both"/>
        <w:rPr>
          <w:lang w:eastAsia="ko-KR"/>
        </w:rPr>
      </w:pPr>
      <w:r>
        <w:rPr>
          <w:rFonts w:ascii="바탕" w:eastAsia="바탕" w:hAnsi="바탕"/>
          <w:sz w:val="20"/>
          <w:lang w:eastAsia="ko-KR"/>
        </w:rPr>
        <w:t xml:space="preserve">셋째, GPAI 연산량 임계치의 개념적 차용. 시행령 제24조 제1호는 안전성 확보 의무 대상 시스템을 “학습에 사용된 누적 연산량이 10의 26승 부동소수점 연산 이상”으로 정의한다.[12] 이는 EU AI Act 제51조 제2항이 GPAI 모델의 시스템적 위험 추정 기준으로 10²⁵ FLOPs를 설정한 </w:t>
      </w:r>
      <w:r>
        <w:rPr>
          <w:rFonts w:ascii="바탕" w:eastAsia="바탕" w:hAnsi="바탕"/>
          <w:sz w:val="20"/>
          <w:lang w:eastAsia="ko-KR"/>
        </w:rPr>
        <w:lastRenderedPageBreak/>
        <w:t>것과 단위·방법론에서 동일한 개념 틀을 수용한 것이다. 차이는 수치 하나 — 한국은 EU보다 10배 관대한 임계치를 채택하였다 — 에 집약된다. 이 단일한 사실은 “구조적 수렴과 실체적 이탈의 공존”을 가장 압축적으로 드러낸다.</w:t>
      </w:r>
    </w:p>
    <w:p w14:paraId="753552E6" w14:textId="77777777" w:rsidR="003275C7" w:rsidRDefault="00000000">
      <w:pPr>
        <w:spacing w:after="0" w:line="360" w:lineRule="auto"/>
        <w:ind w:firstLine="567"/>
        <w:jc w:val="both"/>
        <w:rPr>
          <w:lang w:eastAsia="ko-KR"/>
        </w:rPr>
      </w:pPr>
      <w:r>
        <w:rPr>
          <w:rFonts w:ascii="바탕" w:eastAsia="바탕" w:hAnsi="바탕"/>
          <w:sz w:val="20"/>
          <w:lang w:eastAsia="ko-KR"/>
        </w:rPr>
        <w:t>넷째, 고영향 영역 목록의 상당 중첩. 한국 AI 기본법 제2조의 고영향 AI 10개 영역 — 에너지, 먹는물, 보건·의료, 의료기기, 원자력, 범죄수사 생체인식, 채용·대출, 교통, 공공서비스, 학생평가 — 중 에너지·교통·의료·채용·학생평가·공공서비스는 EU AI Act Annex III 고위험 영역과 직접 대응한다. 범주 배열과 표현 형식은 한국법이 선행 법제를 준거로 삼았음을 자연스럽게 시사한다.</w:t>
      </w:r>
    </w:p>
    <w:p w14:paraId="19BA3AA4" w14:textId="77777777" w:rsidR="003275C7" w:rsidRDefault="00000000">
      <w:pPr>
        <w:spacing w:after="0" w:line="360" w:lineRule="auto"/>
        <w:ind w:firstLine="567"/>
        <w:jc w:val="both"/>
        <w:rPr>
          <w:lang w:eastAsia="ko-KR"/>
        </w:rPr>
      </w:pPr>
      <w:r>
        <w:rPr>
          <w:rFonts w:ascii="바탕" w:eastAsia="바탕" w:hAnsi="바탕"/>
          <w:sz w:val="20"/>
          <w:lang w:eastAsia="ko-KR"/>
        </w:rPr>
        <w:t>다섯째, 의무 체계의 평행 구조. 한국 AI 기본법 제31조(투명성), 제34조(사업자 책무), 제35조(영향평가) 및 과학기술정보통신부가 고시한 5종의 가이드라인 — 특히 「인공지능 안전성 확보 가이드라인」이 규정하는 24시간·7일·15일 단계적 사고보고 체계 — 는 EU AI Act 제9조 위험관리시스템, 제27조 기본권 영향평가(FRIA), 제50조 투명성 의무, 제73조 중대 사고 보고 의무와 구조적 평행을 이룬다.[13] 의무의 분류·호칭·집행 흐름이 EU 체계를 준거로 하였음이 명시적으로 드러난다.</w:t>
      </w:r>
    </w:p>
    <w:p w14:paraId="18686D70" w14:textId="77777777" w:rsidR="003275C7" w:rsidRDefault="00000000">
      <w:pPr>
        <w:spacing w:after="0" w:line="360" w:lineRule="auto"/>
        <w:ind w:firstLine="567"/>
        <w:jc w:val="both"/>
        <w:rPr>
          <w:lang w:eastAsia="ko-KR"/>
        </w:rPr>
      </w:pPr>
      <w:r>
        <w:rPr>
          <w:rFonts w:ascii="바탕" w:eastAsia="바탕" w:hAnsi="바탕"/>
          <w:sz w:val="20"/>
          <w:lang w:eastAsia="ko-KR"/>
        </w:rPr>
        <w:t>이상의 증거는 한국 AI 기본법이 “독립적 규제 설계”가 아닌 “EU 준거적 규제 설계”를 선택하였음을 확증한다. de jure 브뤼셀 효과가 이미 조문 차원에서 실현된 것이다.</w:t>
      </w:r>
    </w:p>
    <w:p w14:paraId="793B1C94" w14:textId="77777777" w:rsidR="003275C7" w:rsidRDefault="00000000">
      <w:pPr>
        <w:spacing w:before="240" w:after="120" w:line="240" w:lineRule="auto"/>
        <w:rPr>
          <w:lang w:eastAsia="ko-KR"/>
        </w:rPr>
      </w:pPr>
      <w:r>
        <w:rPr>
          <w:rFonts w:ascii="맑은 고딕" w:eastAsia="맑은 고딕" w:hAnsi="맑은 고딕"/>
          <w:b/>
          <w:sz w:val="26"/>
          <w:lang w:eastAsia="ko-KR"/>
        </w:rPr>
        <w:t>IV. 실체적 수렴의 단절 — 비대칭의 지형</w:t>
      </w:r>
    </w:p>
    <w:p w14:paraId="6BC45120" w14:textId="77777777" w:rsidR="003275C7" w:rsidRDefault="00000000">
      <w:pPr>
        <w:spacing w:after="0" w:line="360" w:lineRule="auto"/>
        <w:ind w:firstLine="567"/>
        <w:jc w:val="both"/>
        <w:rPr>
          <w:lang w:eastAsia="ko-KR"/>
        </w:rPr>
      </w:pPr>
      <w:r>
        <w:rPr>
          <w:rFonts w:ascii="바탕" w:eastAsia="바탕" w:hAnsi="바탕"/>
          <w:sz w:val="20"/>
          <w:lang w:eastAsia="ko-KR"/>
        </w:rPr>
        <w:t>그러나 구조적 수렴이 곧 실체적 수렴을 의미하지는 않는다. 규제 강도·집행 메커니즘·개념 체계의 차원에서 대조하면, 한국 입법자가 의도적으로 단절선을 그은 지점이 뚜렷하다.</w:t>
      </w:r>
    </w:p>
    <w:p w14:paraId="65692019" w14:textId="77777777" w:rsidR="003275C7" w:rsidRDefault="00000000">
      <w:pPr>
        <w:spacing w:before="80" w:after="40"/>
        <w:jc w:val="center"/>
        <w:rPr>
          <w:lang w:eastAsia="ko-KR"/>
        </w:rPr>
      </w:pPr>
      <w:r>
        <w:rPr>
          <w:rFonts w:ascii="맑은 고딕" w:eastAsia="맑은 고딕" w:hAnsi="맑은 고딕"/>
          <w:b/>
          <w:sz w:val="18"/>
          <w:lang w:eastAsia="ko-KR"/>
        </w:rPr>
        <w:t>[표 2] 실체적 차원에서의 한-EU 비대칭</w:t>
      </w:r>
    </w:p>
    <w:tbl>
      <w:tblPr>
        <w:tblStyle w:val="-11"/>
        <w:tblW w:w="0" w:type="auto"/>
        <w:tblLook w:val="04A0" w:firstRow="1" w:lastRow="0" w:firstColumn="1" w:lastColumn="0" w:noHBand="0" w:noVBand="1"/>
      </w:tblPr>
      <w:tblGrid>
        <w:gridCol w:w="2268"/>
        <w:gridCol w:w="2268"/>
        <w:gridCol w:w="2268"/>
        <w:gridCol w:w="2268"/>
      </w:tblGrid>
      <w:tr w:rsidR="003275C7" w14:paraId="2C67D9AA" w14:textId="77777777" w:rsidTr="00327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D015972" w14:textId="77777777" w:rsidR="003275C7" w:rsidRDefault="00000000">
            <w:pPr>
              <w:spacing w:before="40" w:after="40"/>
              <w:jc w:val="center"/>
            </w:pPr>
            <w:r>
              <w:rPr>
                <w:rFonts w:ascii="바탕" w:eastAsia="바탕" w:hAnsi="바탕"/>
                <w:sz w:val="18"/>
              </w:rPr>
              <w:t>차원</w:t>
            </w:r>
          </w:p>
        </w:tc>
        <w:tc>
          <w:tcPr>
            <w:tcW w:w="2268" w:type="dxa"/>
            <w:vAlign w:val="center"/>
          </w:tcPr>
          <w:p w14:paraId="07D10F48" w14:textId="77777777" w:rsidR="003275C7"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바탕" w:eastAsia="바탕" w:hAnsi="바탕"/>
                <w:sz w:val="18"/>
              </w:rPr>
              <w:t>한국</w:t>
            </w:r>
          </w:p>
        </w:tc>
        <w:tc>
          <w:tcPr>
            <w:tcW w:w="2268" w:type="dxa"/>
            <w:vAlign w:val="center"/>
          </w:tcPr>
          <w:p w14:paraId="7A43FEB7" w14:textId="77777777" w:rsidR="003275C7"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바탕" w:eastAsia="바탕" w:hAnsi="바탕"/>
                <w:sz w:val="18"/>
              </w:rPr>
              <w:t>EU</w:t>
            </w:r>
          </w:p>
        </w:tc>
        <w:tc>
          <w:tcPr>
            <w:tcW w:w="2268" w:type="dxa"/>
            <w:vAlign w:val="center"/>
          </w:tcPr>
          <w:p w14:paraId="1D8FB036" w14:textId="77777777" w:rsidR="003275C7"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바탕" w:eastAsia="바탕" w:hAnsi="바탕"/>
                <w:sz w:val="18"/>
              </w:rPr>
              <w:t>성질</w:t>
            </w:r>
          </w:p>
        </w:tc>
      </w:tr>
      <w:tr w:rsidR="003275C7" w14:paraId="4C146C0D" w14:textId="77777777" w:rsidTr="0032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71624A1" w14:textId="77777777" w:rsidR="003275C7" w:rsidRDefault="00000000">
            <w:pPr>
              <w:spacing w:before="40" w:after="40"/>
              <w:jc w:val="center"/>
            </w:pPr>
            <w:r>
              <w:rPr>
                <w:rFonts w:ascii="바탕" w:eastAsia="바탕" w:hAnsi="바탕"/>
                <w:b w:val="0"/>
                <w:sz w:val="18"/>
              </w:rPr>
              <w:t>최고 제재</w:t>
            </w:r>
          </w:p>
        </w:tc>
        <w:tc>
          <w:tcPr>
            <w:tcW w:w="2268" w:type="dxa"/>
            <w:vAlign w:val="center"/>
          </w:tcPr>
          <w:p w14:paraId="1787EE1C"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과태료 ₩3,000만원</w:t>
            </w:r>
          </w:p>
        </w:tc>
        <w:tc>
          <w:tcPr>
            <w:tcW w:w="2268" w:type="dxa"/>
            <w:vAlign w:val="center"/>
          </w:tcPr>
          <w:p w14:paraId="54C675CC"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€35M 또는 글로벌 매출 7%</w:t>
            </w:r>
          </w:p>
        </w:tc>
        <w:tc>
          <w:tcPr>
            <w:tcW w:w="2268" w:type="dxa"/>
            <w:vAlign w:val="center"/>
          </w:tcPr>
          <w:p w14:paraId="5CA1F3D7"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약 1,500배 격차</w:t>
            </w:r>
          </w:p>
        </w:tc>
      </w:tr>
      <w:tr w:rsidR="003275C7" w14:paraId="41DCAA30" w14:textId="77777777" w:rsidTr="003275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6820C9C" w14:textId="77777777" w:rsidR="003275C7" w:rsidRDefault="00000000">
            <w:pPr>
              <w:spacing w:before="40" w:after="40"/>
              <w:jc w:val="center"/>
            </w:pPr>
            <w:r>
              <w:rPr>
                <w:rFonts w:ascii="바탕" w:eastAsia="바탕" w:hAnsi="바탕"/>
                <w:b w:val="0"/>
                <w:sz w:val="18"/>
              </w:rPr>
              <w:t>사전적합성평가</w:t>
            </w:r>
          </w:p>
        </w:tc>
        <w:tc>
          <w:tcPr>
            <w:tcW w:w="2268" w:type="dxa"/>
            <w:vAlign w:val="center"/>
          </w:tcPr>
          <w:p w14:paraId="062A8701"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부재</w:t>
            </w:r>
          </w:p>
        </w:tc>
        <w:tc>
          <w:tcPr>
            <w:tcW w:w="2268" w:type="dxa"/>
            <w:vAlign w:val="center"/>
          </w:tcPr>
          <w:p w14:paraId="2889EC09"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Art. 43 CE 마킹</w:t>
            </w:r>
          </w:p>
        </w:tc>
        <w:tc>
          <w:tcPr>
            <w:tcW w:w="2268" w:type="dxa"/>
            <w:vAlign w:val="center"/>
          </w:tcPr>
          <w:p w14:paraId="4E30D15D"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질적 단절</w:t>
            </w:r>
          </w:p>
        </w:tc>
      </w:tr>
      <w:tr w:rsidR="003275C7" w14:paraId="3B3F24BC" w14:textId="77777777" w:rsidTr="0032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979BF44" w14:textId="77777777" w:rsidR="003275C7" w:rsidRDefault="00000000">
            <w:pPr>
              <w:spacing w:before="40" w:after="40"/>
              <w:jc w:val="center"/>
            </w:pPr>
            <w:r>
              <w:rPr>
                <w:rFonts w:ascii="바탕" w:eastAsia="바탕" w:hAnsi="바탕"/>
                <w:b w:val="0"/>
                <w:sz w:val="18"/>
              </w:rPr>
              <w:t>금지 AI 카테고리</w:t>
            </w:r>
          </w:p>
        </w:tc>
        <w:tc>
          <w:tcPr>
            <w:tcW w:w="2268" w:type="dxa"/>
            <w:vAlign w:val="center"/>
          </w:tcPr>
          <w:p w14:paraId="5EAB66A6"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rPr>
                <w:lang w:eastAsia="ko-KR"/>
              </w:rPr>
            </w:pPr>
            <w:r>
              <w:rPr>
                <w:rFonts w:ascii="바탕" w:eastAsia="바탕" w:hAnsi="바탕"/>
                <w:sz w:val="18"/>
                <w:lang w:eastAsia="ko-KR"/>
              </w:rPr>
              <w:t>부재 (윤리원칙으로 대체)</w:t>
            </w:r>
          </w:p>
        </w:tc>
        <w:tc>
          <w:tcPr>
            <w:tcW w:w="2268" w:type="dxa"/>
            <w:vAlign w:val="center"/>
          </w:tcPr>
          <w:p w14:paraId="708DCB10"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Art. 5 명시적 7개</w:t>
            </w:r>
          </w:p>
        </w:tc>
        <w:tc>
          <w:tcPr>
            <w:tcW w:w="2268" w:type="dxa"/>
            <w:vAlign w:val="center"/>
          </w:tcPr>
          <w:p w14:paraId="0AB42013"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질적 단절</w:t>
            </w:r>
          </w:p>
        </w:tc>
      </w:tr>
      <w:tr w:rsidR="003275C7" w14:paraId="0F57DA80" w14:textId="77777777" w:rsidTr="003275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071241B" w14:textId="77777777" w:rsidR="003275C7" w:rsidRDefault="00000000">
            <w:pPr>
              <w:spacing w:before="40" w:after="40"/>
              <w:jc w:val="center"/>
              <w:rPr>
                <w:lang w:eastAsia="ko-KR"/>
              </w:rPr>
            </w:pPr>
            <w:r>
              <w:rPr>
                <w:rFonts w:ascii="바탕" w:eastAsia="바탕" w:hAnsi="바탕"/>
                <w:b w:val="0"/>
                <w:sz w:val="18"/>
                <w:lang w:eastAsia="ko-KR"/>
              </w:rPr>
              <w:t>GPAI 연산량 임계치</w:t>
            </w:r>
          </w:p>
        </w:tc>
        <w:tc>
          <w:tcPr>
            <w:tcW w:w="2268" w:type="dxa"/>
            <w:vAlign w:val="center"/>
          </w:tcPr>
          <w:p w14:paraId="0F82D131"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10²⁶ FLOPs</w:t>
            </w:r>
          </w:p>
        </w:tc>
        <w:tc>
          <w:tcPr>
            <w:tcW w:w="2268" w:type="dxa"/>
            <w:vAlign w:val="center"/>
          </w:tcPr>
          <w:p w14:paraId="289FECD1"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10²⁵ FLOPs</w:t>
            </w:r>
          </w:p>
        </w:tc>
        <w:tc>
          <w:tcPr>
            <w:tcW w:w="2268" w:type="dxa"/>
            <w:vAlign w:val="center"/>
          </w:tcPr>
          <w:p w14:paraId="1A4CCCC1"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10배 완화</w:t>
            </w:r>
          </w:p>
        </w:tc>
      </w:tr>
      <w:tr w:rsidR="003275C7" w14:paraId="489D1DD5" w14:textId="77777777" w:rsidTr="0032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8661C2E" w14:textId="77777777" w:rsidR="003275C7" w:rsidRDefault="00000000">
            <w:pPr>
              <w:spacing w:before="40" w:after="40"/>
              <w:jc w:val="center"/>
            </w:pPr>
            <w:r>
              <w:rPr>
                <w:rFonts w:ascii="바탕" w:eastAsia="바탕" w:hAnsi="바탕"/>
                <w:b w:val="0"/>
                <w:sz w:val="18"/>
              </w:rPr>
              <w:t>개념 용어</w:t>
            </w:r>
          </w:p>
        </w:tc>
        <w:tc>
          <w:tcPr>
            <w:tcW w:w="2268" w:type="dxa"/>
            <w:vAlign w:val="center"/>
          </w:tcPr>
          <w:p w14:paraId="4053F155"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“고영향” (가치중립)</w:t>
            </w:r>
          </w:p>
        </w:tc>
        <w:tc>
          <w:tcPr>
            <w:tcW w:w="2268" w:type="dxa"/>
            <w:vAlign w:val="center"/>
          </w:tcPr>
          <w:p w14:paraId="6F5E1927"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“High-Risk”</w:t>
            </w:r>
          </w:p>
        </w:tc>
        <w:tc>
          <w:tcPr>
            <w:tcW w:w="2268" w:type="dxa"/>
            <w:vAlign w:val="center"/>
          </w:tcPr>
          <w:p w14:paraId="07F7CDC1" w14:textId="77777777" w:rsidR="003275C7" w:rsidRDefault="00000000">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바탕" w:eastAsia="바탕" w:hAnsi="바탕"/>
                <w:sz w:val="18"/>
              </w:rPr>
              <w:t>프레이밍 이격</w:t>
            </w:r>
          </w:p>
        </w:tc>
      </w:tr>
      <w:tr w:rsidR="003275C7" w14:paraId="4E72E83F" w14:textId="77777777" w:rsidTr="003275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E8E6179" w14:textId="77777777" w:rsidR="003275C7" w:rsidRDefault="00000000">
            <w:pPr>
              <w:spacing w:before="40" w:after="40"/>
              <w:jc w:val="center"/>
            </w:pPr>
            <w:r>
              <w:rPr>
                <w:rFonts w:ascii="바탕" w:eastAsia="바탕" w:hAnsi="바탕"/>
                <w:b w:val="0"/>
                <w:sz w:val="18"/>
              </w:rPr>
              <w:t>규제 철학</w:t>
            </w:r>
          </w:p>
        </w:tc>
        <w:tc>
          <w:tcPr>
            <w:tcW w:w="2268" w:type="dxa"/>
            <w:vAlign w:val="center"/>
          </w:tcPr>
          <w:p w14:paraId="473E4AC7"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선허용-후규제</w:t>
            </w:r>
          </w:p>
        </w:tc>
        <w:tc>
          <w:tcPr>
            <w:tcW w:w="2268" w:type="dxa"/>
            <w:vAlign w:val="center"/>
          </w:tcPr>
          <w:p w14:paraId="3BC79CBE"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사전예방</w:t>
            </w:r>
          </w:p>
        </w:tc>
        <w:tc>
          <w:tcPr>
            <w:tcW w:w="2268" w:type="dxa"/>
            <w:vAlign w:val="center"/>
          </w:tcPr>
          <w:p w14:paraId="73D506CD" w14:textId="77777777" w:rsidR="003275C7" w:rsidRDefault="00000000">
            <w:pPr>
              <w:spacing w:before="40" w:after="40"/>
              <w:jc w:val="center"/>
              <w:cnfStyle w:val="000000010000" w:firstRow="0" w:lastRow="0" w:firstColumn="0" w:lastColumn="0" w:oddVBand="0" w:evenVBand="0" w:oddHBand="0" w:evenHBand="1" w:firstRowFirstColumn="0" w:firstRowLastColumn="0" w:lastRowFirstColumn="0" w:lastRowLastColumn="0"/>
            </w:pPr>
            <w:r>
              <w:rPr>
                <w:rFonts w:ascii="바탕" w:eastAsia="바탕" w:hAnsi="바탕"/>
                <w:sz w:val="18"/>
              </w:rPr>
              <w:t>근본 대립</w:t>
            </w:r>
          </w:p>
        </w:tc>
      </w:tr>
    </w:tbl>
    <w:p w14:paraId="2944A9CE" w14:textId="77777777" w:rsidR="003275C7" w:rsidRDefault="003275C7"/>
    <w:p w14:paraId="4A331369" w14:textId="77777777" w:rsidR="003275C7" w:rsidRDefault="00000000">
      <w:pPr>
        <w:spacing w:after="0" w:line="360" w:lineRule="auto"/>
        <w:ind w:firstLine="567"/>
        <w:jc w:val="both"/>
        <w:rPr>
          <w:lang w:eastAsia="ko-KR"/>
        </w:rPr>
      </w:pPr>
      <w:r>
        <w:rPr>
          <w:rFonts w:ascii="바탕" w:eastAsia="바탕" w:hAnsi="바탕"/>
          <w:sz w:val="20"/>
          <w:lang w:eastAsia="ko-KR"/>
        </w:rPr>
        <w:t>제재의 비대칭성. 한국 AI 기본법 제43조 제1항은 국내대리인 미지정, 투명성 고지 위반, 시정명령 불이행 등 핵심 의무 위반에 대해 “3천만원 이하의 과태료”를 상한으로 설정하였다.[14] 동일 위반에 대해 EU AI Act 제99조가 €35M 또는 전세계 매출의 7%를 상한으로 부과하는 것과 비교하면 실질 억지력에서 약 1,500배의 격차가 발생한다. 글로벌 빅테크에 대한 ₩3천만원의 과태료는 “사업 비용의 일부로 내재화 가능한 수준”이며, 이는 한국의 de jure 수렴이 실체적 차원에서 “외피(shell) 수준”에 머물렀음을 결정적으로 입증한다.</w:t>
      </w:r>
    </w:p>
    <w:p w14:paraId="247C793D" w14:textId="77777777" w:rsidR="003275C7" w:rsidRDefault="00000000">
      <w:pPr>
        <w:spacing w:after="0" w:line="360" w:lineRule="auto"/>
        <w:ind w:firstLine="567"/>
        <w:jc w:val="both"/>
        <w:rPr>
          <w:lang w:eastAsia="ko-KR"/>
        </w:rPr>
      </w:pPr>
      <w:r>
        <w:rPr>
          <w:rFonts w:ascii="바탕" w:eastAsia="바탕" w:hAnsi="바탕"/>
          <w:sz w:val="20"/>
          <w:lang w:eastAsia="ko-KR"/>
        </w:rPr>
        <w:lastRenderedPageBreak/>
        <w:t>사전통제 메커니즘의 부재. EU AI Act의 핵심 집행 메커니즘은 제43조 적합성평가(conformity assessment)와 이에 수반되는 CE 마킹 의무, 제47조 적합성선언서, 제48조 기술문서 제출 의무 등 사전통제형 인증 체계이다. 고위험 AI 시스템은 시장 출시 이전에 이 절차를 완료하여야 한다. 반면 한국 AI 기본법은 사전 인증·적합성평가에 해당하는 조항을 두지 않으며, 집행은 제40조 사실조사와 시정명령, 제42조·제43조 벌칙·과태료 등 사후 대응 체제에 의존한다. 이는 “선허용-후규제” 원칙의 법제적 구현이지만, 동시에 EU식 사전예방(precautionary) 철학과의 근본적 대립을 드러낸다.</w:t>
      </w:r>
    </w:p>
    <w:p w14:paraId="5643E7AF" w14:textId="77777777" w:rsidR="003275C7" w:rsidRDefault="00000000">
      <w:pPr>
        <w:spacing w:after="0" w:line="360" w:lineRule="auto"/>
        <w:ind w:firstLine="567"/>
        <w:jc w:val="both"/>
        <w:rPr>
          <w:lang w:eastAsia="ko-KR"/>
        </w:rPr>
      </w:pPr>
      <w:r>
        <w:rPr>
          <w:rFonts w:ascii="바탕" w:eastAsia="바탕" w:hAnsi="바탕"/>
          <w:sz w:val="20"/>
          <w:lang w:eastAsia="ko-KR"/>
        </w:rPr>
        <w:t>금지 AI 카테고리의 부재. EU AI Act 제5조는 잠재의식 조작, 취약성 악용, 사회적 점수화, 실시간 원격 생체인식(원칙적 금지), 직장·교육 내 감정인식 등 일곱 유형의 AI 실무를 명시적 금지 대상으로 규정한다.[15] 한국 AI 기본법은 대응 조항을 두지 않으며 제27조의 민간자율 인공지능 윤리원칙에 사실상 의존한다. 이는 규범 위계(normative hierarchy) 차원에서 EU와의 질적 단절을 의미한다.</w:t>
      </w:r>
    </w:p>
    <w:p w14:paraId="061C0C34" w14:textId="77777777" w:rsidR="003275C7" w:rsidRDefault="00000000">
      <w:pPr>
        <w:spacing w:after="0" w:line="360" w:lineRule="auto"/>
        <w:ind w:firstLine="567"/>
        <w:jc w:val="both"/>
        <w:rPr>
          <w:lang w:eastAsia="ko-KR"/>
        </w:rPr>
      </w:pPr>
      <w:r>
        <w:rPr>
          <w:rFonts w:ascii="바탕" w:eastAsia="바탕" w:hAnsi="바탕"/>
          <w:sz w:val="20"/>
          <w:lang w:eastAsia="ko-KR"/>
        </w:rPr>
        <w:t>개념 용어의 프레이밍 이격. 한국법은 “고영향(high-impact)”이라는 가치중립적 표현을 채택하였다. 이에 대해 양희정은 “EU AI Act의 위험 분류 체계에 비추어 볼 때, 우리 역시 ‘고영향’이라는 용어를 ‘고위험’으로 전환하는 것이 바람직해 보인다. 설령 ‘고영향 AI’의 개념을 유지하는 경우라도, EU처럼 구체적 위험 시나리오와 분야별로 유형화”해야 한다고 지적한다.[16] “영향”은 긍정·부정을 모두 포괄하나 “위험”은 규제적 개입의 정당화 근거를 내포하므로, 용어 선택은 단순 수사(修辭)가 아니라 규제 개입의 정당성 구조에 관한 선택이다. 현행 “고영향” 개념은 규범적 판단기준의 예측가능성 결손으로 직결된다.</w:t>
      </w:r>
    </w:p>
    <w:p w14:paraId="7D0CE261" w14:textId="77777777" w:rsidR="003275C7" w:rsidRDefault="00000000">
      <w:pPr>
        <w:spacing w:before="240" w:after="120" w:line="240" w:lineRule="auto"/>
        <w:rPr>
          <w:lang w:eastAsia="ko-KR"/>
        </w:rPr>
      </w:pPr>
      <w:r>
        <w:rPr>
          <w:rFonts w:ascii="맑은 고딕" w:eastAsia="맑은 고딕" w:hAnsi="맑은 고딕"/>
          <w:b/>
          <w:sz w:val="26"/>
          <w:lang w:eastAsia="ko-KR"/>
        </w:rPr>
        <w:t>V. 비대칭이 초래하는 삼중 리스크</w:t>
      </w:r>
    </w:p>
    <w:p w14:paraId="7255ABFB" w14:textId="77777777" w:rsidR="003275C7" w:rsidRDefault="00000000">
      <w:pPr>
        <w:spacing w:after="0" w:line="360" w:lineRule="auto"/>
        <w:ind w:firstLine="567"/>
        <w:jc w:val="both"/>
        <w:rPr>
          <w:lang w:eastAsia="ko-KR"/>
        </w:rPr>
      </w:pPr>
      <w:r w:rsidRPr="003A28EF">
        <w:rPr>
          <w:rFonts w:ascii="바탕" w:eastAsia="바탕" w:hAnsi="바탕"/>
          <w:b/>
          <w:bCs/>
          <w:sz w:val="20"/>
          <w:lang w:eastAsia="ko-KR"/>
        </w:rPr>
        <w:t>첫째, 한국 기업의 이중규제 부담</w:t>
      </w:r>
      <w:r>
        <w:rPr>
          <w:rFonts w:ascii="바탕" w:eastAsia="바탕" w:hAnsi="바탕"/>
          <w:sz w:val="20"/>
          <w:lang w:eastAsia="ko-KR"/>
        </w:rPr>
        <w:t>. EU 시장 진출 의사가 있는 한국 AI 사업자는 결국 EU 기준을 준수할 수밖에 없다. 한국 기본법의 낮은 기준은 글로벌 규제의 “플로어(floor)”로 기능하는 것이 아니라, 이미 EU 기준을 준수하는 기업에 별도의 지연된 행정 부담을 부과하는 병존 구조를 만든다. 국내 기준 충족은 EU 기준 충족에 의해 자동 대체되지 않으며 양 체제는 중첩적으로 준수되어야 한다. 브뤼셀 효과의 일반 함의와 달리, 한국의 비대칭 설계는 효율적 수렴 대신 비효율적 이중 부담을 산출한다.</w:t>
      </w:r>
    </w:p>
    <w:p w14:paraId="5BB3A90E" w14:textId="77777777" w:rsidR="003275C7" w:rsidRDefault="00000000">
      <w:pPr>
        <w:spacing w:after="0" w:line="360" w:lineRule="auto"/>
        <w:ind w:firstLine="567"/>
        <w:jc w:val="both"/>
        <w:rPr>
          <w:lang w:eastAsia="ko-KR"/>
        </w:rPr>
      </w:pPr>
      <w:r w:rsidRPr="003A28EF">
        <w:rPr>
          <w:rFonts w:ascii="바탕" w:eastAsia="바탕" w:hAnsi="바탕"/>
          <w:b/>
          <w:bCs/>
          <w:sz w:val="20"/>
          <w:lang w:eastAsia="ko-KR"/>
        </w:rPr>
        <w:t>둘째, 국내 이용자 보호의 실효성 공백</w:t>
      </w:r>
      <w:r>
        <w:rPr>
          <w:rFonts w:ascii="바탕" w:eastAsia="바탕" w:hAnsi="바탕"/>
          <w:sz w:val="20"/>
          <w:lang w:eastAsia="ko-KR"/>
        </w:rPr>
        <w:t>. 해외 빅테크가 한국 시장에서 고영향 AI 서비스를 제공하며 안전성·투명성 의무를 위반한 경우 상한 ₩3천만원의 과태료는 실질 억지력을 발휘하지 못한다. 동일 기업이 EU 시장에서 동일 행위를 할 경우 €35M 또는 매출 7%에 달하는 제재에 직면하는 것과 대조된다. 결과적으로 한국 이용자는 EU 시민 대비 체계적으로 열등한 보호 수준에 놓인다. 이는 헌법 제10조 기본권 보장 의무 및 제11조 평등 원칙의 관점에서 규범적 문제 제기의 여지를 남긴다.</w:t>
      </w:r>
    </w:p>
    <w:p w14:paraId="16695515" w14:textId="77777777" w:rsidR="003275C7" w:rsidRDefault="00000000">
      <w:pPr>
        <w:spacing w:after="0" w:line="360" w:lineRule="auto"/>
        <w:ind w:firstLine="567"/>
        <w:jc w:val="both"/>
        <w:rPr>
          <w:lang w:eastAsia="ko-KR"/>
        </w:rPr>
      </w:pPr>
      <w:r w:rsidRPr="003A28EF">
        <w:rPr>
          <w:rFonts w:ascii="바탕" w:eastAsia="바탕" w:hAnsi="바탕"/>
          <w:b/>
          <w:bCs/>
          <w:sz w:val="20"/>
          <w:lang w:eastAsia="ko-KR"/>
        </w:rPr>
        <w:t>셋째, 규제 상호운용성의 저해와 적정성 리스크</w:t>
      </w:r>
      <w:r>
        <w:rPr>
          <w:rFonts w:ascii="바탕" w:eastAsia="바탕" w:hAnsi="바탕"/>
          <w:sz w:val="20"/>
          <w:lang w:eastAsia="ko-KR"/>
        </w:rPr>
        <w:t xml:space="preserve">. EU는 GDPR 제45조에 근거하여 “개인정보 보호 적정성 결정(adequacy decision)” 제도를 운영하고 있으며, 한국은 2021년 12월 부분적 적정성 결정을 받았다. 향후 EU가 AI 규범 영역에서 유사한 상호인정 제도를 도입할 경우 — 이는 </w:t>
      </w:r>
      <w:r>
        <w:rPr>
          <w:rFonts w:ascii="바탕" w:eastAsia="바탕" w:hAnsi="바탕"/>
          <w:sz w:val="20"/>
          <w:lang w:eastAsia="ko-KR"/>
        </w:rPr>
        <w:lastRenderedPageBreak/>
        <w:t>EU AI Act 제40조·제41조의 조화표준 체계의 확장을 통해 기술적으로 가능하다 — 현행 한국 AI 기본법은 제재·사전통제의 현저한 결손으로 인해 적정성 인정이 어려운 상태에 놓인다. 이는 장기적으로 한국 AI 산업의 EU 진출에 비관세장벽으로 작용하며, 글로벌 AI 공급망 내 한국의 지위를 약화시킬 수 있다.</w:t>
      </w:r>
    </w:p>
    <w:p w14:paraId="61F1B5AF" w14:textId="77777777" w:rsidR="003275C7" w:rsidRDefault="00000000">
      <w:pPr>
        <w:spacing w:before="240" w:after="120" w:line="240" w:lineRule="auto"/>
        <w:rPr>
          <w:lang w:eastAsia="ko-KR"/>
        </w:rPr>
      </w:pPr>
      <w:r>
        <w:rPr>
          <w:rFonts w:ascii="맑은 고딕" w:eastAsia="맑은 고딕" w:hAnsi="맑은 고딕"/>
          <w:b/>
          <w:sz w:val="26"/>
          <w:lang w:eastAsia="ko-KR"/>
        </w:rPr>
        <w:t>VI. 결론 및 정책 제언</w:t>
      </w:r>
    </w:p>
    <w:p w14:paraId="10D3D71D" w14:textId="77777777" w:rsidR="003275C7" w:rsidRDefault="00000000">
      <w:pPr>
        <w:spacing w:after="0" w:line="360" w:lineRule="auto"/>
        <w:ind w:firstLine="567"/>
        <w:jc w:val="both"/>
        <w:rPr>
          <w:lang w:eastAsia="ko-KR"/>
        </w:rPr>
      </w:pPr>
      <w:r>
        <w:rPr>
          <w:rFonts w:ascii="바탕" w:eastAsia="바탕" w:hAnsi="바탕"/>
          <w:sz w:val="20"/>
          <w:lang w:eastAsia="ko-KR"/>
        </w:rPr>
        <w:t>본고의 분석을 통해 다음과 같이 결론짓는다. 한국 인공지능기본법은 EU AI Act의 “아키텍처 이식”에는 성공하였으나 “실체 이식”에는 실패하였다. 역외적용, 국내대리인, GPAI 임계치 개념, 고영향 영역 목록, 투명성·영향평가·위험관리·사고보고 의무 등 조문의 기본 골격은 EU 규범을 직접 준거로 삼아 구성되었다. 반면 제재 수단, 사전통제 메커니즘, 금지 AI 카테고리, 개념 용어의 규범적 엄격성에서는 의도적이고 일관된 이탈이 관찰된다. 이 비대칭은 단기적으로는 국내 산업 친화적 환경을 조성하는 듯하나, 장기적으로는 이중규제 부담·이용자 보호 공백·규제 상호운용성 저해의 삼중 리스크를 구조적으로 내장한다.</w:t>
      </w:r>
    </w:p>
    <w:p w14:paraId="29F03387" w14:textId="77777777" w:rsidR="003275C7" w:rsidRDefault="00000000">
      <w:pPr>
        <w:spacing w:after="0" w:line="360" w:lineRule="auto"/>
        <w:ind w:firstLine="567"/>
        <w:jc w:val="both"/>
        <w:rPr>
          <w:lang w:eastAsia="ko-KR"/>
        </w:rPr>
      </w:pPr>
      <w:r>
        <w:rPr>
          <w:rFonts w:ascii="바탕" w:eastAsia="바탕" w:hAnsi="바탕"/>
          <w:sz w:val="20"/>
          <w:lang w:eastAsia="ko-KR"/>
        </w:rPr>
        <w:t xml:space="preserve">이에 다음 다섯 가지 정책 제언을 제시한다. </w:t>
      </w:r>
      <w:r w:rsidRPr="003A28EF">
        <w:rPr>
          <w:rFonts w:ascii="바탕" w:eastAsia="바탕" w:hAnsi="바탕"/>
          <w:b/>
          <w:bCs/>
          <w:sz w:val="20"/>
          <w:lang w:eastAsia="ko-KR"/>
        </w:rPr>
        <w:t>첫째, 용어의 재정립</w:t>
      </w:r>
      <w:r>
        <w:rPr>
          <w:rFonts w:ascii="바탕" w:eastAsia="바탕" w:hAnsi="바탕"/>
          <w:sz w:val="20"/>
          <w:lang w:eastAsia="ko-KR"/>
        </w:rPr>
        <w:t xml:space="preserve">: 제2조의 “고영향 인공지능”을 “고위험 인공지능”으로 개정하고 EU Annex III 수준의 분야별 위험 시나리오를 시행령 또는 고시로 구체화한다. </w:t>
      </w:r>
      <w:r w:rsidRPr="003A28EF">
        <w:rPr>
          <w:rFonts w:ascii="바탕" w:eastAsia="바탕" w:hAnsi="바탕"/>
          <w:b/>
          <w:bCs/>
          <w:sz w:val="20"/>
          <w:lang w:eastAsia="ko-KR"/>
        </w:rPr>
        <w:t>둘째, 제재 체계의 상향</w:t>
      </w:r>
      <w:r>
        <w:rPr>
          <w:rFonts w:ascii="바탕" w:eastAsia="바탕" w:hAnsi="바탕"/>
          <w:sz w:val="20"/>
          <w:lang w:eastAsia="ko-KR"/>
        </w:rPr>
        <w:t xml:space="preserve">: 제43조의 정액 과태료 체계를 매출 연동 과징금 체계로 전환하며, 예컨대 전년도 매출액의 3% 이하를 상한으로 하는 구조가 합리적이다. </w:t>
      </w:r>
      <w:r w:rsidRPr="003A28EF">
        <w:rPr>
          <w:rFonts w:ascii="바탕" w:eastAsia="바탕" w:hAnsi="바탕"/>
          <w:b/>
          <w:bCs/>
          <w:sz w:val="20"/>
          <w:lang w:eastAsia="ko-KR"/>
        </w:rPr>
        <w:t>셋째, 연산량 임계치의 정합화</w:t>
      </w:r>
      <w:r>
        <w:rPr>
          <w:rFonts w:ascii="바탕" w:eastAsia="바탕" w:hAnsi="바탕"/>
          <w:sz w:val="20"/>
          <w:lang w:eastAsia="ko-KR"/>
        </w:rPr>
        <w:t xml:space="preserve">: 시행령 제24조의 10²⁶ FLOPs 기준을 EU와 일치하는 10²⁵ FLOPs로 조정한다. </w:t>
      </w:r>
      <w:r w:rsidRPr="003A28EF">
        <w:rPr>
          <w:rFonts w:ascii="바탕" w:eastAsia="바탕" w:hAnsi="바탕"/>
          <w:b/>
          <w:bCs/>
          <w:sz w:val="20"/>
          <w:lang w:eastAsia="ko-KR"/>
        </w:rPr>
        <w:t>넷째, 판단기준의 구체화</w:t>
      </w:r>
      <w:r>
        <w:rPr>
          <w:rFonts w:ascii="바탕" w:eastAsia="바탕" w:hAnsi="바탕"/>
          <w:sz w:val="20"/>
          <w:lang w:eastAsia="ko-KR"/>
        </w:rPr>
        <w:t xml:space="preserve">: 고영향 영역의 판단기준을 분야별 시나리오 리스트와 예시로 시행령·가이드라인 차원에서 확정한다. </w:t>
      </w:r>
      <w:r w:rsidRPr="003A28EF">
        <w:rPr>
          <w:rFonts w:ascii="바탕" w:eastAsia="바탕" w:hAnsi="바탕"/>
          <w:b/>
          <w:bCs/>
          <w:sz w:val="20"/>
          <w:lang w:eastAsia="ko-KR"/>
        </w:rPr>
        <w:t>다섯째, 규제 외교의 선제적 구축</w:t>
      </w:r>
      <w:r>
        <w:rPr>
          <w:rFonts w:ascii="바탕" w:eastAsia="바탕" w:hAnsi="바탕"/>
          <w:sz w:val="20"/>
          <w:lang w:eastAsia="ko-KR"/>
        </w:rPr>
        <w:t>: EU와의 AI 규제 상호인정 협상 기반을 현 시점에서 준비하고 향후 적정성 결정 체계로의 편입 경로를 확보한다.</w:t>
      </w:r>
    </w:p>
    <w:p w14:paraId="7EF57A29" w14:textId="77777777" w:rsidR="003275C7" w:rsidRDefault="00000000">
      <w:pPr>
        <w:spacing w:after="0" w:line="360" w:lineRule="auto"/>
        <w:ind w:firstLine="567"/>
        <w:jc w:val="both"/>
        <w:rPr>
          <w:lang w:eastAsia="ko-KR"/>
        </w:rPr>
      </w:pPr>
      <w:r>
        <w:rPr>
          <w:rFonts w:ascii="바탕" w:eastAsia="바탕" w:hAnsi="바탕"/>
          <w:sz w:val="20"/>
          <w:lang w:eastAsia="ko-KR"/>
        </w:rPr>
        <w:t>이상의 제언은 한국이 EU 규범에 종속되어야 함을 주장하는 것이 아니다. 브뤼셀 효과는 “수용 대 거부”의 이분법이 아니라 “선별적 수용의 속도·범위·논리에 관한 설계 선택”이다. 현행 한국 AI 기본법이 수행한 선택은 선별의 기준이 규범적으로 정당화되기 어렵다는 점에서 재설계의 대상이 된다. EU 규범의 일률적 추종도, 독자 노선의 고수도 해답이 아니며, 합리적 선별 기준에 따른 상향 정합이 요청된다.</w:t>
      </w:r>
    </w:p>
    <w:p w14:paraId="2A5C78F9" w14:textId="77777777" w:rsidR="003275C7" w:rsidRDefault="00000000">
      <w:pPr>
        <w:spacing w:before="160" w:after="120" w:line="240" w:lineRule="auto"/>
      </w:pPr>
      <w:r>
        <w:rPr>
          <w:rFonts w:ascii="맑은 고딕" w:eastAsia="맑은 고딕" w:hAnsi="맑은 고딕"/>
          <w:b/>
        </w:rPr>
        <w:t>각주</w:t>
      </w:r>
    </w:p>
    <w:p w14:paraId="3899A886" w14:textId="77777777" w:rsidR="003275C7" w:rsidRDefault="00000000">
      <w:pPr>
        <w:spacing w:after="40" w:line="240" w:lineRule="auto"/>
        <w:ind w:left="454" w:hanging="454"/>
        <w:jc w:val="both"/>
        <w:rPr>
          <w:lang w:eastAsia="ko-KR"/>
        </w:rPr>
      </w:pPr>
      <w:r>
        <w:rPr>
          <w:rFonts w:ascii="바탕" w:eastAsia="바탕" w:hAnsi="바탕"/>
          <w:sz w:val="16"/>
        </w:rPr>
        <w:t xml:space="preserve">[1] Regulation (EU) 2024/1689 of the European Parliament and of the Council of 13 June 2024 laying down harmonised rules on artificial intelligence, OJ L, 12 July 2024, Art. 2(1). </w:t>
      </w:r>
      <w:r>
        <w:rPr>
          <w:rFonts w:ascii="바탕" w:eastAsia="바탕" w:hAnsi="바탕"/>
          <w:sz w:val="16"/>
          <w:lang w:eastAsia="ko-KR"/>
        </w:rPr>
        <w:t>EU AI Act는 관보 게재 후 20일 후인 2024년 8월 1일 발효되었으며, 단계적 시행 일정에 따라 금지 AI 조항은 2025년 2월 2일, GPAI 조항은 2025년 8월 2일, 고위험 AI 일반 조항은 2026년 8월 2일, 제6조 제1항 관련 조항은 2027년 8월 2일부터 적용된다.</w:t>
      </w:r>
    </w:p>
    <w:p w14:paraId="79E2DBC4" w14:textId="77777777" w:rsidR="003275C7" w:rsidRDefault="00000000">
      <w:pPr>
        <w:spacing w:after="40" w:line="240" w:lineRule="auto"/>
        <w:ind w:left="454" w:hanging="454"/>
        <w:jc w:val="both"/>
      </w:pPr>
      <w:r>
        <w:rPr>
          <w:rFonts w:ascii="바탕" w:eastAsia="바탕" w:hAnsi="바탕"/>
          <w:sz w:val="16"/>
        </w:rPr>
        <w:t>[2] Anu Bradford, “The Brussels Effect,” Northwestern University Law Review 107, no. 1 (2012): 1-68.</w:t>
      </w:r>
    </w:p>
    <w:p w14:paraId="0F15EC29" w14:textId="77777777" w:rsidR="003275C7" w:rsidRDefault="00000000">
      <w:pPr>
        <w:spacing w:after="40" w:line="240" w:lineRule="auto"/>
        <w:ind w:left="454" w:hanging="454"/>
        <w:jc w:val="both"/>
      </w:pPr>
      <w:r>
        <w:rPr>
          <w:rFonts w:ascii="바탕" w:eastAsia="바탕" w:hAnsi="바탕"/>
          <w:sz w:val="16"/>
          <w:lang w:eastAsia="ko-KR"/>
        </w:rPr>
        <w:t xml:space="preserve">[3] 「인공지능 발전과 신뢰 기반 조성 등에 관한 기본법」(법률 제20676호, 2024. 12. 제정, 2026. 1. 22. 시행). 해당 법제를 “EU AI Act에 이은 세계 두 번째 AI 포괄 규제 법 제정”으로 평가하는 견해는 양희정, 「AI 거버넌스: 관련 법과 국제표준」 제5강 강의자료 (건국대학교 공학대학원, 2026. </w:t>
      </w:r>
      <w:r>
        <w:rPr>
          <w:rFonts w:ascii="바탕" w:eastAsia="바탕" w:hAnsi="바탕"/>
          <w:sz w:val="16"/>
        </w:rPr>
        <w:t>4. 2.), Slide 8 참조.</w:t>
      </w:r>
    </w:p>
    <w:p w14:paraId="5711A168" w14:textId="77777777" w:rsidR="003275C7" w:rsidRDefault="00000000">
      <w:pPr>
        <w:spacing w:after="40" w:line="240" w:lineRule="auto"/>
        <w:ind w:left="454" w:hanging="454"/>
        <w:jc w:val="both"/>
      </w:pPr>
      <w:r>
        <w:rPr>
          <w:rFonts w:ascii="바탕" w:eastAsia="바탕" w:hAnsi="바탕"/>
          <w:sz w:val="16"/>
        </w:rPr>
        <w:t>[4] Bradford, 앞의 논문(주 2), 3-5.</w:t>
      </w:r>
    </w:p>
    <w:p w14:paraId="5A69FBAE" w14:textId="77777777" w:rsidR="003275C7" w:rsidRDefault="00000000">
      <w:pPr>
        <w:spacing w:after="40" w:line="240" w:lineRule="auto"/>
        <w:ind w:left="454" w:hanging="454"/>
        <w:jc w:val="both"/>
      </w:pPr>
      <w:r>
        <w:rPr>
          <w:rFonts w:ascii="바탕" w:eastAsia="바탕" w:hAnsi="바탕"/>
          <w:sz w:val="16"/>
        </w:rPr>
        <w:t>[5] Anu Bradford, The Brussels Effect: How the European Union Rules the World (New York: Oxford University Press, 2020), 1-28.</w:t>
      </w:r>
    </w:p>
    <w:p w14:paraId="2EE92771" w14:textId="77777777" w:rsidR="003275C7" w:rsidRDefault="00000000">
      <w:pPr>
        <w:spacing w:after="40" w:line="240" w:lineRule="auto"/>
        <w:ind w:left="454" w:hanging="454"/>
        <w:jc w:val="both"/>
        <w:rPr>
          <w:lang w:eastAsia="ko-KR"/>
        </w:rPr>
      </w:pPr>
      <w:r>
        <w:rPr>
          <w:rFonts w:ascii="바탕" w:eastAsia="바탕" w:hAnsi="바탕"/>
          <w:sz w:val="16"/>
          <w:lang w:eastAsia="ko-KR"/>
        </w:rPr>
        <w:t>[6] Bradford, 앞의 책(주 5), 25-66. 다섯 조건의 상세는 제2장에서 체계적으로 제시된다.</w:t>
      </w:r>
    </w:p>
    <w:p w14:paraId="419ADCBD" w14:textId="77777777" w:rsidR="003275C7" w:rsidRDefault="00000000">
      <w:pPr>
        <w:spacing w:after="40" w:line="240" w:lineRule="auto"/>
        <w:ind w:left="454" w:hanging="454"/>
        <w:jc w:val="both"/>
        <w:rPr>
          <w:lang w:eastAsia="ko-KR"/>
        </w:rPr>
      </w:pPr>
      <w:r>
        <w:rPr>
          <w:rFonts w:ascii="바탕" w:eastAsia="바탕" w:hAnsi="바탕"/>
          <w:sz w:val="16"/>
          <w:lang w:eastAsia="ko-KR"/>
        </w:rPr>
        <w:lastRenderedPageBreak/>
        <w:t>[7] 「개인정보 보호법」 (법률 제19234호, 2023. 3. 14. 일부개정) 제37조의2 자동화된 결정에 대한 정보주체의 권리 신설. 양희정, 앞의 강의자료(주 3) 제1강, Slide 55는 “한국법은 GDPR 적정성 결정을 통해 높은 수준의 정합성을 확보하였으며, 최근 개정으로 ‘자동화 결정 대응권’ 및 ‘과징금 체계’가 글로벌 표준에 더욱 근접하였다”고 평가한다.</w:t>
      </w:r>
    </w:p>
    <w:p w14:paraId="6D130B76" w14:textId="77777777" w:rsidR="003275C7" w:rsidRDefault="00000000">
      <w:pPr>
        <w:spacing w:after="40" w:line="240" w:lineRule="auto"/>
        <w:ind w:left="454" w:hanging="454"/>
        <w:jc w:val="both"/>
        <w:rPr>
          <w:lang w:eastAsia="ko-KR"/>
        </w:rPr>
      </w:pPr>
      <w:r>
        <w:rPr>
          <w:rFonts w:ascii="바탕" w:eastAsia="바탕" w:hAnsi="바탕"/>
          <w:sz w:val="16"/>
          <w:lang w:eastAsia="ko-KR"/>
        </w:rPr>
        <w:t>[8] 양희정, 앞의 강의자료(주 3) 제1강, Slide 74는 “전 세계적으로 위험 기반 접근(Risk-Based)이 표준으로 자리잡는 추세이며, EU AI Act의 브뤼셀 효과로 인해 글로벌 기업들은 가장 엄격한 기준(EU)에 맞춰 컴플라이언스를 강화하고 있다”고 기술한다.</w:t>
      </w:r>
    </w:p>
    <w:p w14:paraId="0EAB8EAE" w14:textId="77777777" w:rsidR="003275C7" w:rsidRDefault="00000000">
      <w:pPr>
        <w:spacing w:after="40" w:line="240" w:lineRule="auto"/>
        <w:ind w:left="454" w:hanging="454"/>
        <w:jc w:val="both"/>
        <w:rPr>
          <w:lang w:eastAsia="ko-KR"/>
        </w:rPr>
      </w:pPr>
      <w:r>
        <w:rPr>
          <w:rFonts w:ascii="바탕" w:eastAsia="바탕" w:hAnsi="바탕"/>
          <w:sz w:val="16"/>
          <w:lang w:eastAsia="ko-KR"/>
        </w:rPr>
        <w:t>[9] 「인공지능기본법」 제4조 제1항.</w:t>
      </w:r>
    </w:p>
    <w:p w14:paraId="668D5065" w14:textId="77777777" w:rsidR="003275C7" w:rsidRDefault="00000000">
      <w:pPr>
        <w:spacing w:after="40" w:line="240" w:lineRule="auto"/>
        <w:ind w:left="454" w:hanging="454"/>
        <w:jc w:val="both"/>
        <w:rPr>
          <w:lang w:eastAsia="ko-KR"/>
        </w:rPr>
      </w:pPr>
      <w:r>
        <w:rPr>
          <w:rFonts w:ascii="바탕" w:eastAsia="바탕" w:hAnsi="바탕"/>
          <w:sz w:val="16"/>
          <w:lang w:eastAsia="ko-KR"/>
        </w:rPr>
        <w:t>[10] 「인공지능기본법」 제36조 제1항, 제3항.</w:t>
      </w:r>
    </w:p>
    <w:p w14:paraId="565232D1" w14:textId="77777777" w:rsidR="003275C7" w:rsidRDefault="00000000">
      <w:pPr>
        <w:spacing w:after="40" w:line="240" w:lineRule="auto"/>
        <w:ind w:left="454" w:hanging="454"/>
        <w:jc w:val="both"/>
        <w:rPr>
          <w:lang w:eastAsia="ko-KR"/>
        </w:rPr>
      </w:pPr>
      <w:r>
        <w:rPr>
          <w:rFonts w:ascii="바탕" w:eastAsia="바탕" w:hAnsi="바탕"/>
          <w:sz w:val="16"/>
          <w:lang w:eastAsia="ko-KR"/>
        </w:rPr>
        <w:t>[11] 「인공지능기본법 시행령」 제29조.</w:t>
      </w:r>
    </w:p>
    <w:p w14:paraId="2A746CFF" w14:textId="77777777" w:rsidR="003275C7" w:rsidRDefault="00000000">
      <w:pPr>
        <w:spacing w:after="40" w:line="240" w:lineRule="auto"/>
        <w:ind w:left="454" w:hanging="454"/>
        <w:jc w:val="both"/>
        <w:rPr>
          <w:lang w:eastAsia="ko-KR"/>
        </w:rPr>
      </w:pPr>
      <w:r>
        <w:rPr>
          <w:rFonts w:ascii="바탕" w:eastAsia="바탕" w:hAnsi="바탕"/>
          <w:sz w:val="16"/>
          <w:lang w:eastAsia="ko-KR"/>
        </w:rPr>
        <w:t>[12] 「인공지능기본법 시행령」 제24조 제1호.</w:t>
      </w:r>
    </w:p>
    <w:p w14:paraId="4F8629C9" w14:textId="77777777" w:rsidR="003275C7" w:rsidRDefault="00000000">
      <w:pPr>
        <w:spacing w:after="40" w:line="240" w:lineRule="auto"/>
        <w:ind w:left="454" w:hanging="454"/>
        <w:jc w:val="both"/>
        <w:rPr>
          <w:lang w:eastAsia="ko-KR"/>
        </w:rPr>
      </w:pPr>
      <w:r>
        <w:rPr>
          <w:rFonts w:ascii="바탕" w:eastAsia="바탕" w:hAnsi="바탕"/>
          <w:sz w:val="16"/>
          <w:lang w:eastAsia="ko-KR"/>
        </w:rPr>
        <w:t>[13] 과학기술정보통신부·한국전자통신연구원, 「인공지능 안전성 확보 가이드라인」(2026. 1.), 제2장 제5절 보고 및 제출 부분; Regulation (EU) 2024/1689, Art. 73.</w:t>
      </w:r>
    </w:p>
    <w:p w14:paraId="68FDD1DE" w14:textId="77777777" w:rsidR="003275C7" w:rsidRDefault="00000000">
      <w:pPr>
        <w:spacing w:after="40" w:line="240" w:lineRule="auto"/>
        <w:ind w:left="454" w:hanging="454"/>
        <w:jc w:val="both"/>
        <w:rPr>
          <w:lang w:eastAsia="ko-KR"/>
        </w:rPr>
      </w:pPr>
      <w:r>
        <w:rPr>
          <w:rFonts w:ascii="바탕" w:eastAsia="바탕" w:hAnsi="바탕"/>
          <w:sz w:val="16"/>
          <w:lang w:eastAsia="ko-KR"/>
        </w:rPr>
        <w:t>[14] 「인공지능기본법」 제43조 제1항.</w:t>
      </w:r>
    </w:p>
    <w:p w14:paraId="6C692749" w14:textId="77777777" w:rsidR="003275C7" w:rsidRDefault="00000000">
      <w:pPr>
        <w:spacing w:after="40" w:line="240" w:lineRule="auto"/>
        <w:ind w:left="454" w:hanging="454"/>
        <w:jc w:val="both"/>
      </w:pPr>
      <w:r>
        <w:rPr>
          <w:rFonts w:ascii="바탕" w:eastAsia="바탕" w:hAnsi="바탕"/>
          <w:sz w:val="16"/>
        </w:rPr>
        <w:t>[15] Regulation (EU) 2024/1689, Art. 5.</w:t>
      </w:r>
    </w:p>
    <w:p w14:paraId="1914FC1B" w14:textId="77777777" w:rsidR="003275C7" w:rsidRDefault="00000000">
      <w:pPr>
        <w:spacing w:after="40" w:line="240" w:lineRule="auto"/>
        <w:ind w:left="454" w:hanging="454"/>
        <w:jc w:val="both"/>
      </w:pPr>
      <w:r>
        <w:rPr>
          <w:rFonts w:ascii="바탕" w:eastAsia="바탕" w:hAnsi="바탕"/>
          <w:sz w:val="16"/>
        </w:rPr>
        <w:t>[16] 양희정, 앞의 강의자료(주 3) 제3강, Slide 22 노트 참조.</w:t>
      </w:r>
    </w:p>
    <w:sectPr w:rsidR="003275C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F092E"/>
    <w:multiLevelType w:val="multilevel"/>
    <w:tmpl w:val="654A480E"/>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3795267">
    <w:abstractNumId w:val="0"/>
  </w:num>
  <w:num w:numId="2" w16cid:durableId="13123234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1040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0527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166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4278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75C7"/>
    <w:rsid w:val="003275C7"/>
    <w:rsid w:val="003A28EF"/>
    <w:rsid w:val="00F97B89"/>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0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0"/>
    <w:lsdException w:name="Light List" w:uiPriority="0"/>
    <w:lsdException w:name="Light Grid" w:uiPriority="0"/>
    <w:lsdException w:name="Medium Shading 1" w:uiPriority="0"/>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0"/>
    <w:lsdException w:name="Light List Accent 1" w:uiPriority="0"/>
    <w:lsdException w:name="Light Grid Accent 1" w:uiPriority="0"/>
    <w:lsdException w:name="Medium Shading 1 Accent 1" w:uiPriority="0"/>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0"/>
    <w:lsdException w:name="Light List Accent 2" w:uiPriority="0"/>
    <w:lsdException w:name="Light Grid Accent 2" w:uiPriority="0"/>
    <w:lsdException w:name="Medium Shading 1 Accent 2" w:uiPriority="0"/>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0"/>
    <w:lsdException w:name="Light List Accent 3" w:uiPriority="0"/>
    <w:lsdException w:name="Light Grid Accent 3" w:uiPriority="0"/>
    <w:lsdException w:name="Medium Shading 1 Accent 3" w:uiPriority="0"/>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0"/>
    <w:lsdException w:name="Light List Accent 4" w:uiPriority="0"/>
    <w:lsdException w:name="Light Grid Accent 4" w:uiPriority="0"/>
    <w:lsdException w:name="Medium Shading 1 Accent 4" w:uiPriority="0"/>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0"/>
    <w:lsdException w:name="Light List Accent 5" w:uiPriority="0"/>
    <w:lsdException w:name="Light Grid Accent 5" w:uiPriority="0"/>
    <w:lsdException w:name="Medium Shading 1 Accent 5" w:uiPriority="0"/>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0"/>
    <w:lsdException w:name="Light List Accent 6" w:uiPriority="0"/>
    <w:lsdException w:name="Light Grid Accent 6" w:uiPriority="0"/>
    <w:lsdException w:name="Medium Shading 1 Accent 6" w:uiPriority="0"/>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1"/>
    <w:uiPriority w:val="99"/>
  </w:style>
  <w:style w:type="paragraph" w:customStyle="1" w:styleId="12">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2"/>
    <w:uiPriority w:val="99"/>
  </w:style>
  <w:style w:type="paragraph" w:styleId="a3">
    <w:name w:val="No Spacing"/>
    <w:uiPriority w:val="1"/>
    <w:qFormat/>
    <w:pPr>
      <w:spacing w:after="0" w:line="240" w:lineRule="auto"/>
    </w:pPr>
  </w:style>
  <w:style w:type="character" w:customStyle="1" w:styleId="1Char">
    <w:name w:val="제목 1 Char"/>
    <w:basedOn w:val="a0"/>
    <w:link w:val="10"/>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3">
    <w:name w:val="본문1"/>
    <w:basedOn w:val="a"/>
    <w:link w:val="BodyTextChar"/>
    <w:uiPriority w:val="99"/>
    <w:unhideWhenUsed/>
    <w:pPr>
      <w:spacing w:after="120"/>
    </w:pPr>
  </w:style>
  <w:style w:type="character" w:customStyle="1" w:styleId="BodyTextChar">
    <w:name w:val="Body Text Char"/>
    <w:basedOn w:val="a0"/>
    <w:link w:val="13"/>
    <w:uiPriority w:val="99"/>
  </w:style>
  <w:style w:type="paragraph" w:customStyle="1" w:styleId="21">
    <w:name w:val="본문 21"/>
    <w:basedOn w:val="a"/>
    <w:link w:val="BodyText2Char"/>
    <w:uiPriority w:val="99"/>
    <w:unhideWhenUsed/>
    <w:pPr>
      <w:spacing w:after="120" w:line="480" w:lineRule="auto"/>
    </w:pPr>
  </w:style>
  <w:style w:type="character" w:customStyle="1" w:styleId="BodyText2Char">
    <w:name w:val="Body Text 2 Char"/>
    <w:basedOn w:val="a0"/>
    <w:link w:val="21"/>
    <w:uiPriority w:val="99"/>
  </w:style>
  <w:style w:type="paragraph" w:customStyle="1" w:styleId="31">
    <w:name w:val="본문 31"/>
    <w:basedOn w:val="a"/>
    <w:link w:val="BodyText3Char"/>
    <w:uiPriority w:val="99"/>
    <w:unhideWhenUsed/>
    <w:pPr>
      <w:spacing w:after="120"/>
    </w:pPr>
    <w:rPr>
      <w:sz w:val="16"/>
      <w:szCs w:val="16"/>
    </w:rPr>
  </w:style>
  <w:style w:type="character" w:customStyle="1" w:styleId="BodyText3Char">
    <w:name w:val="Body Text 3 Char"/>
    <w:basedOn w:val="a0"/>
    <w:link w:val="31"/>
    <w:uiPriority w:val="99"/>
    <w:rPr>
      <w:sz w:val="16"/>
      <w:szCs w:val="16"/>
    </w:rPr>
  </w:style>
  <w:style w:type="paragraph" w:customStyle="1" w:styleId="14">
    <w:name w:val="목록1"/>
    <w:basedOn w:val="a"/>
    <w:uiPriority w:val="99"/>
    <w:unhideWhenUsed/>
    <w:pPr>
      <w:ind w:left="360" w:hanging="360"/>
      <w:contextualSpacing/>
    </w:pPr>
  </w:style>
  <w:style w:type="paragraph" w:customStyle="1" w:styleId="210">
    <w:name w:val="목록 21"/>
    <w:basedOn w:val="a"/>
    <w:uiPriority w:val="99"/>
    <w:unhideWhenUsed/>
    <w:pPr>
      <w:ind w:left="720" w:hanging="360"/>
      <w:contextualSpacing/>
    </w:pPr>
  </w:style>
  <w:style w:type="paragraph" w:customStyle="1" w:styleId="310">
    <w:name w:val="목록 31"/>
    <w:basedOn w:val="a"/>
    <w:uiPriority w:val="99"/>
    <w:unhideWhenUsed/>
    <w:pPr>
      <w:ind w:left="1080" w:hanging="360"/>
      <w:contextualSpacing/>
    </w:pPr>
  </w:style>
  <w:style w:type="paragraph" w:customStyle="1" w:styleId="1">
    <w:name w:val="글머리 기호1"/>
    <w:basedOn w:val="a"/>
    <w:uiPriority w:val="99"/>
    <w:unhideWhenUsed/>
    <w:pPr>
      <w:numPr>
        <w:numId w:val="1"/>
      </w:numPr>
      <w:contextualSpacing/>
    </w:pPr>
  </w:style>
  <w:style w:type="paragraph" w:customStyle="1" w:styleId="211">
    <w:name w:val="글머리 기호 21"/>
    <w:basedOn w:val="a"/>
    <w:uiPriority w:val="99"/>
    <w:unhideWhenUsed/>
    <w:pPr>
      <w:tabs>
        <w:tab w:val="num" w:pos="720"/>
      </w:tabs>
      <w:ind w:left="720" w:hanging="720"/>
      <w:contextualSpacing/>
    </w:pPr>
  </w:style>
  <w:style w:type="paragraph" w:customStyle="1" w:styleId="311">
    <w:name w:val="글머리 기호 31"/>
    <w:basedOn w:val="a"/>
    <w:uiPriority w:val="99"/>
    <w:unhideWhenUsed/>
    <w:pPr>
      <w:tabs>
        <w:tab w:val="num" w:pos="720"/>
      </w:tabs>
      <w:ind w:left="720" w:hanging="720"/>
      <w:contextualSpacing/>
    </w:pPr>
  </w:style>
  <w:style w:type="paragraph" w:customStyle="1" w:styleId="15">
    <w:name w:val="번호 매기기1"/>
    <w:basedOn w:val="a"/>
    <w:uiPriority w:val="99"/>
    <w:unhideWhenUsed/>
    <w:pPr>
      <w:tabs>
        <w:tab w:val="num" w:pos="720"/>
      </w:tabs>
      <w:ind w:left="720" w:hanging="720"/>
      <w:contextualSpacing/>
    </w:pPr>
  </w:style>
  <w:style w:type="paragraph" w:customStyle="1" w:styleId="212">
    <w:name w:val="번호 매기기 21"/>
    <w:basedOn w:val="a"/>
    <w:uiPriority w:val="99"/>
    <w:unhideWhenUsed/>
    <w:pPr>
      <w:tabs>
        <w:tab w:val="num" w:pos="720"/>
      </w:tabs>
      <w:ind w:left="720" w:hanging="720"/>
      <w:contextualSpacing/>
    </w:pPr>
  </w:style>
  <w:style w:type="paragraph" w:customStyle="1" w:styleId="312">
    <w:name w:val="번호 매기기 31"/>
    <w:basedOn w:val="a"/>
    <w:uiPriority w:val="99"/>
    <w:unhideWhenUsed/>
    <w:pPr>
      <w:tabs>
        <w:tab w:val="num" w:pos="720"/>
      </w:tabs>
      <w:ind w:left="720" w:hanging="720"/>
      <w:contextualSpacing/>
    </w:pPr>
  </w:style>
  <w:style w:type="paragraph" w:customStyle="1" w:styleId="16">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7">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7"/>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0"/>
    <w:next w:val="a"/>
    <w:uiPriority w:val="39"/>
    <w:semiHidden/>
    <w:unhideWhenUsed/>
    <w:qFormat/>
    <w:pPr>
      <w:outlineLvl w:val="9"/>
    </w:pPr>
  </w:style>
  <w:style w:type="table" w:styleId="af1">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a1"/>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1">
    <w:name w:val="Light Shading Accent 1"/>
    <w:basedOn w:val="a1"/>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a1"/>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1"/>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a1"/>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1"/>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8">
    <w:name w:val="Medium Shading 1"/>
    <w:basedOn w:val="a1"/>
    <w:uiPriority w:val="63"/>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1-1">
    <w:name w:val="Medium Shading 1 Accent 1"/>
    <w:basedOn w:val="a1"/>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9">
    <w:name w:val="Medium List 1"/>
    <w:basedOn w:val="a1"/>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styleId="1-10">
    <w:name w:val="Medium List 1 Accent 1"/>
    <w:basedOn w:val="a1"/>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cPr>
    </w:tblStylePr>
    <w:tblStylePr w:type="swCell">
      <w:tblPr/>
      <w:tcPr>
        <w:tcBorders>
          <w:top w:val="nil"/>
        </w:tcBorders>
      </w:tcPr>
    </w:tblStylePr>
  </w:style>
  <w:style w:type="table" w:styleId="1a">
    <w:name w:val="Medium Grid 1"/>
    <w:basedOn w:val="a1"/>
    <w:uiPriority w:val="67"/>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1-11">
    <w:name w:val="Medium Grid 1 Accent 1"/>
    <w:basedOn w:val="a1"/>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BCBCB"/>
      </w:tcPr>
    </w:tblStylePr>
    <w:tblStylePr w:type="band1Vert">
      <w:tblPr/>
      <w:tcPr>
        <w:shd w:val="clear" w:color="auto" w:fill="7F7F7F"/>
      </w:tcPr>
    </w:tblStylePr>
    <w:tblStylePr w:type="band1Horz">
      <w:tblPr/>
      <w:tcPr>
        <w:tcBorders>
          <w:insideH w:val="single" w:sz="6" w:space="0" w:color="000000"/>
          <w:insideV w:val="single" w:sz="6" w:space="0" w:color="000000"/>
        </w:tcBorders>
        <w:shd w:val="clear" w:color="auto" w:fill="7F7F7F"/>
      </w:tcPr>
    </w:tblStylePr>
    <w:tblStylePr w:type="nwCell">
      <w:tblPr/>
      <w:tcPr>
        <w:shd w:val="clear" w:color="auto" w:fill="FFFFFF"/>
      </w:tcPr>
    </w:tblStylePr>
  </w:style>
  <w:style w:type="table" w:styleId="2-11">
    <w:name w:val="Medium Grid 2 Accent 1"/>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cPr>
    </w:tblStylePr>
  </w:style>
  <w:style w:type="table" w:styleId="2-21">
    <w:name w:val="Medium Grid 2 Accent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cPr>
    </w:tblStylePr>
  </w:style>
  <w:style w:type="table" w:styleId="2-31">
    <w:name w:val="Medium Grid 2 Accent 3"/>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cPr>
    </w:tblStylePr>
  </w:style>
  <w:style w:type="table" w:styleId="2-41">
    <w:name w:val="Medium Grid 2 Accent 4"/>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cPr>
    </w:tblStylePr>
  </w:style>
  <w:style w:type="table" w:styleId="2-51">
    <w:name w:val="Medium Grid 2 Accent 5"/>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cPr>
    </w:tblStylePr>
  </w:style>
  <w:style w:type="table" w:styleId="2-61">
    <w:name w:val="Medium Grid 2 Accent 6"/>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cPr>
    </w:tblStylePr>
  </w:style>
  <w:style w:type="table" w:styleId="30">
    <w:name w:val="Medium Grid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F7F7F"/>
      </w:tcPr>
    </w:tblStylePr>
  </w:style>
  <w:style w:type="table" w:styleId="3-1">
    <w:name w:val="Medium Grid 3 Accent 1"/>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3-2">
    <w:name w:val="Medium Grid 3 Accent 2"/>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3-3">
    <w:name w:val="Medium Grid 3 Accent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3-4">
    <w:name w:val="Medium Grid 3 Accent 4"/>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3-5">
    <w:name w:val="Medium Grid 3 Accent 5"/>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3-6">
    <w:name w:val="Medium Grid 3 Accent 6"/>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af5">
    <w:name w:val="Dark List"/>
    <w:basedOn w:val="a1"/>
    <w:uiPriority w:val="70"/>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1"/>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3">
    <w:name w:val="Colorful Shading Accent 1"/>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1"/>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1"/>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1"/>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a1"/>
    <w:uiPriority w:val="72"/>
    <w:pPr>
      <w:spacing w:after="0" w:line="240" w:lineRule="auto"/>
    </w:pPr>
    <w:rPr>
      <w:color w:val="000000"/>
    </w:rPr>
    <w:tblPr>
      <w:tblStyleRowBandSize w:val="1"/>
      <w:tblStyleColBandSize w:val="1"/>
    </w:tblPr>
    <w:tcPr>
      <w:shd w:val="clear" w:color="auto" w:fill="E5E5E5"/>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BCBCB"/>
      </w:tcPr>
    </w:tblStylePr>
  </w:style>
  <w:style w:type="table" w:styleId="-14">
    <w:name w:val="Colorful List Accent 1"/>
    <w:basedOn w:val="a1"/>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CBCBCB"/>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5">
    <w:name w:val="Colorful Grid Accent 1"/>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4045</Words>
  <Characters>4937</Characters>
  <Application>Microsoft Office Word</Application>
  <DocSecurity>0</DocSecurity>
  <Lines>170</Lines>
  <Paragraphs>149</Paragraphs>
  <ScaleCrop>false</ScaleCrop>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2026-04-16T04:06:00Z</dcterms:modified>
  <cp:version>1000.0100.01</cp:version>
</cp:coreProperties>
</file>