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0484" w:rsidRDefault="00C72652">
      <w:r>
        <w:rPr>
          <w:noProof/>
        </w:rPr>
        <w:drawing>
          <wp:inline distT="0" distB="0" distL="0" distR="0" wp14:anchorId="3308A89E" wp14:editId="32619D3B">
            <wp:extent cx="4772025" cy="1885950"/>
            <wp:effectExtent l="0" t="0" r="952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72025" cy="1885950"/>
                    </a:xfrm>
                    <a:prstGeom prst="rect">
                      <a:avLst/>
                    </a:prstGeom>
                  </pic:spPr>
                </pic:pic>
              </a:graphicData>
            </a:graphic>
          </wp:inline>
        </w:drawing>
      </w:r>
    </w:p>
    <w:p w:rsidR="00C72652" w:rsidRDefault="00C72652"/>
    <w:p w:rsidR="00C72652" w:rsidRDefault="00C72652" w:rsidP="00C72652">
      <w:pPr>
        <w:autoSpaceDE w:val="0"/>
        <w:autoSpaceDN w:val="0"/>
        <w:adjustRightInd w:val="0"/>
        <w:rPr>
          <w:rFonts w:ascii="Palatino-Bold" w:eastAsia="Palatino-Bold" w:cs="Palatino-Bold"/>
          <w:b/>
          <w:bCs/>
          <w:kern w:val="0"/>
          <w:sz w:val="18"/>
          <w:szCs w:val="18"/>
        </w:rPr>
      </w:pPr>
      <w:r>
        <w:rPr>
          <w:rFonts w:ascii="Palatino-Bold" w:eastAsia="Palatino-Bold" w:cs="Palatino-Bold"/>
          <w:b/>
          <w:bCs/>
          <w:kern w:val="0"/>
          <w:sz w:val="18"/>
          <w:szCs w:val="18"/>
        </w:rPr>
        <w:t>What trials defi ned the role of stereotactic body RT therapy (SBRT)?</w:t>
      </w:r>
    </w:p>
    <w:p w:rsidR="00C72652" w:rsidRDefault="00C72652" w:rsidP="00C72652">
      <w:pPr>
        <w:autoSpaceDE w:val="0"/>
        <w:autoSpaceDN w:val="0"/>
        <w:adjustRightInd w:val="0"/>
        <w:rPr>
          <w:rFonts w:ascii="Palatino-Italic" w:eastAsia="Palatino-Italic" w:cs="Palatino-Italic"/>
          <w:i/>
          <w:iCs/>
          <w:kern w:val="0"/>
          <w:sz w:val="18"/>
          <w:szCs w:val="18"/>
        </w:rPr>
      </w:pPr>
      <w:r>
        <w:rPr>
          <w:rFonts w:ascii="Palatino-Italic" w:eastAsia="Palatino-Italic" w:cs="Palatino-Italic"/>
          <w:i/>
          <w:iCs/>
          <w:kern w:val="0"/>
          <w:sz w:val="18"/>
          <w:szCs w:val="18"/>
        </w:rPr>
        <w:t xml:space="preserve">SBRT, formally defi ned as high dose per fraction delivered in </w:t>
      </w:r>
      <w:r>
        <w:rPr>
          <w:rFonts w:ascii="Symbol" w:eastAsia="Palatino-Bold" w:hAnsi="Symbol" w:cs="Symbol"/>
          <w:kern w:val="0"/>
          <w:sz w:val="18"/>
          <w:szCs w:val="18"/>
        </w:rPr>
        <w:t>≤</w:t>
      </w:r>
      <w:r>
        <w:rPr>
          <w:rFonts w:ascii="Palatino-Italic" w:eastAsia="Palatino-Italic" w:cs="Palatino-Italic"/>
          <w:i/>
          <w:iCs/>
          <w:kern w:val="0"/>
          <w:sz w:val="18"/>
          <w:szCs w:val="18"/>
        </w:rPr>
        <w:t xml:space="preserve">5 fractions, was fi rst developed in Sweden. Dr. Timmerman at Indiana University led dose-escalation trial in 2003, which then led to phase II discovering high rate of central toxicity for 60 Gy/3 fx. In 2002, </w:t>
      </w:r>
      <w:r w:rsidRPr="00E1460D">
        <w:rPr>
          <w:rFonts w:ascii="Palatino-Italic" w:eastAsia="Palatino-Italic" w:cs="Palatino-Italic"/>
          <w:i/>
          <w:iCs/>
          <w:kern w:val="0"/>
          <w:sz w:val="18"/>
          <w:szCs w:val="18"/>
          <w:highlight w:val="yellow"/>
        </w:rPr>
        <w:t>RTOG 0236</w:t>
      </w:r>
      <w:r>
        <w:rPr>
          <w:rFonts w:ascii="Palatino-Italic" w:eastAsia="Palatino-Italic" w:cs="Palatino-Italic"/>
          <w:i/>
          <w:iCs/>
          <w:kern w:val="0"/>
          <w:sz w:val="18"/>
          <w:szCs w:val="18"/>
        </w:rPr>
        <w:t xml:space="preserve"> (JAMA 2010) opened, which defi ned role of SBRT for early peripheral lesions. Since there is debate on value of surgery, </w:t>
      </w:r>
      <w:r w:rsidRPr="00C72652">
        <w:rPr>
          <w:rFonts w:ascii="Palatino-Italic" w:eastAsia="Palatino-Italic" w:cs="Palatino-Italic"/>
          <w:i/>
          <w:iCs/>
          <w:kern w:val="0"/>
          <w:sz w:val="18"/>
          <w:szCs w:val="18"/>
          <w:highlight w:val="yellow"/>
        </w:rPr>
        <w:t>RTOG 0618</w:t>
      </w:r>
      <w:r>
        <w:rPr>
          <w:rFonts w:ascii="Palatino-Italic" w:eastAsia="Palatino-Italic" w:cs="Palatino-Italic"/>
          <w:i/>
          <w:iCs/>
          <w:kern w:val="0"/>
          <w:sz w:val="18"/>
          <w:szCs w:val="18"/>
        </w:rPr>
        <w:t xml:space="preserve"> investigated SBRT for operable pts, reserving surgery for salvage if needed. Since central tumors are considered high risk using 60 Gy/3 fx (but not with 50 Gy/5 fx), </w:t>
      </w:r>
      <w:r w:rsidRPr="00C72652">
        <w:rPr>
          <w:rFonts w:ascii="Palatino-Italic" w:eastAsia="Palatino-Italic" w:cs="Palatino-Italic"/>
          <w:i/>
          <w:iCs/>
          <w:kern w:val="0"/>
          <w:sz w:val="18"/>
          <w:szCs w:val="18"/>
          <w:highlight w:val="yellow"/>
        </w:rPr>
        <w:t>RTOG 0813</w:t>
      </w:r>
      <w:r>
        <w:rPr>
          <w:rFonts w:ascii="Palatino-Italic" w:eastAsia="Palatino-Italic" w:cs="Palatino-Italic"/>
          <w:i/>
          <w:iCs/>
          <w:kern w:val="0"/>
          <w:sz w:val="18"/>
          <w:szCs w:val="18"/>
        </w:rPr>
        <w:t xml:space="preserve"> studied safety and dose escalation for central tumors starting at 50 Gy/5 fx and going to 60 Gy/5 fx. </w:t>
      </w:r>
      <w:r w:rsidRPr="00C72652">
        <w:rPr>
          <w:rFonts w:ascii="Palatino-Italic" w:eastAsia="Palatino-Italic" w:cs="Palatino-Italic"/>
          <w:i/>
          <w:iCs/>
          <w:kern w:val="0"/>
          <w:sz w:val="18"/>
          <w:szCs w:val="18"/>
          <w:highlight w:val="yellow"/>
        </w:rPr>
        <w:t>RTOG 0915</w:t>
      </w:r>
      <w:r>
        <w:rPr>
          <w:rFonts w:ascii="Palatino-Italic" w:eastAsia="Palatino-Italic" w:cs="Palatino-Italic"/>
          <w:i/>
          <w:iCs/>
          <w:kern w:val="0"/>
          <w:sz w:val="18"/>
          <w:szCs w:val="18"/>
        </w:rPr>
        <w:t xml:space="preserve"> investigated single-fraction SBRT for peripheral lesions.</w:t>
      </w:r>
    </w:p>
    <w:p w:rsidR="00C72652" w:rsidRDefault="00C72652" w:rsidP="00C72652">
      <w:pPr>
        <w:autoSpaceDE w:val="0"/>
        <w:autoSpaceDN w:val="0"/>
        <w:adjustRightInd w:val="0"/>
        <w:rPr>
          <w:rFonts w:ascii="Palatino-Italic" w:eastAsia="Palatino-Italic" w:cs="Palatino-Italic"/>
          <w:i/>
          <w:iCs/>
          <w:kern w:val="0"/>
          <w:sz w:val="18"/>
          <w:szCs w:val="18"/>
        </w:rPr>
      </w:pPr>
    </w:p>
    <w:p w:rsidR="00C72652" w:rsidRDefault="00C72652" w:rsidP="00C72652">
      <w:pPr>
        <w:autoSpaceDE w:val="0"/>
        <w:autoSpaceDN w:val="0"/>
        <w:adjustRightInd w:val="0"/>
        <w:rPr>
          <w:rFonts w:ascii="Palatino-Roman" w:eastAsia="Palatino-Roman" w:cs="Palatino-Roman"/>
          <w:kern w:val="0"/>
          <w:sz w:val="18"/>
          <w:szCs w:val="18"/>
        </w:rPr>
      </w:pPr>
      <w:r>
        <w:rPr>
          <w:rFonts w:ascii="Palatino-Bold" w:eastAsia="Palatino-Bold" w:cs="Palatino-Bold"/>
          <w:b/>
          <w:bCs/>
          <w:kern w:val="0"/>
          <w:sz w:val="18"/>
          <w:szCs w:val="18"/>
        </w:rPr>
        <w:t xml:space="preserve">Bezjak, </w:t>
      </w:r>
      <w:r w:rsidRPr="00C72652">
        <w:rPr>
          <w:rFonts w:ascii="Palatino-Bold" w:eastAsia="Palatino-Bold" w:cs="Palatino-Bold"/>
          <w:b/>
          <w:bCs/>
          <w:kern w:val="0"/>
          <w:sz w:val="18"/>
          <w:szCs w:val="18"/>
          <w:highlight w:val="yellow"/>
        </w:rPr>
        <w:t>RTOG 0813</w:t>
      </w:r>
      <w:r>
        <w:rPr>
          <w:rFonts w:ascii="Palatino-Bold" w:eastAsia="Palatino-Bold" w:cs="Palatino-Bold"/>
          <w:b/>
          <w:bCs/>
          <w:kern w:val="0"/>
          <w:sz w:val="18"/>
          <w:szCs w:val="18"/>
        </w:rPr>
        <w:t xml:space="preserve"> (</w:t>
      </w:r>
      <w:r>
        <w:rPr>
          <w:rFonts w:ascii="Palatino-BoldItalic" w:eastAsia="Palatino-BoldItalic" w:cs="Palatino-BoldItalic"/>
          <w:b/>
          <w:bCs/>
          <w:i/>
          <w:iCs/>
          <w:kern w:val="0"/>
          <w:sz w:val="18"/>
          <w:szCs w:val="18"/>
        </w:rPr>
        <w:t xml:space="preserve">ASTRO </w:t>
      </w:r>
      <w:r>
        <w:rPr>
          <w:rFonts w:ascii="Palatino-Bold" w:eastAsia="Palatino-Bold" w:cs="Palatino-Bold"/>
          <w:b/>
          <w:bCs/>
          <w:kern w:val="0"/>
          <w:sz w:val="18"/>
          <w:szCs w:val="18"/>
        </w:rPr>
        <w:t xml:space="preserve">2015, Abstract LBA10; </w:t>
      </w:r>
      <w:r>
        <w:rPr>
          <w:rFonts w:ascii="Palatino-BoldItalic" w:eastAsia="Palatino-BoldItalic" w:cs="Palatino-BoldItalic"/>
          <w:b/>
          <w:bCs/>
          <w:i/>
          <w:iCs/>
          <w:kern w:val="0"/>
          <w:sz w:val="18"/>
          <w:szCs w:val="18"/>
        </w:rPr>
        <w:t xml:space="preserve">ASTRO </w:t>
      </w:r>
      <w:r>
        <w:rPr>
          <w:rFonts w:ascii="Palatino-Bold" w:eastAsia="Palatino-Bold" w:cs="Palatino-Bold"/>
          <w:b/>
          <w:bCs/>
          <w:kern w:val="0"/>
          <w:sz w:val="18"/>
          <w:szCs w:val="18"/>
        </w:rPr>
        <w:t xml:space="preserve">2016, Abstract 16): </w:t>
      </w:r>
      <w:r>
        <w:rPr>
          <w:rFonts w:ascii="Palatino-Roman" w:eastAsia="Palatino-Roman" w:cs="Palatino-Roman"/>
          <w:kern w:val="0"/>
          <w:sz w:val="18"/>
          <w:szCs w:val="18"/>
        </w:rPr>
        <w:t>Phase I/ II study designed to determine maximum tolerated dose (MTD) and effi cacy of SBRT for cT1-2 (&lt;5 cm). Central tumors were defi ned as tumors within 2 cm of tracheal</w:t>
      </w:r>
      <w:r>
        <w:rPr>
          <w:rFonts w:ascii="Palatino-Roman" w:eastAsia="Palatino-Roman" w:cs="Palatino-Roman" w:hint="eastAsia"/>
          <w:kern w:val="0"/>
          <w:sz w:val="18"/>
          <w:szCs w:val="18"/>
        </w:rPr>
        <w:t>–</w:t>
      </w:r>
      <w:r>
        <w:rPr>
          <w:rFonts w:ascii="Palatino-Roman" w:eastAsia="Palatino-Roman" w:cs="Palatino-Roman"/>
          <w:kern w:val="0"/>
          <w:sz w:val="18"/>
          <w:szCs w:val="18"/>
        </w:rPr>
        <w:t>bronchial tree or immediately adjacent to mediastinal or pericardial pleura (where PTV would touch</w:t>
      </w:r>
    </w:p>
    <w:p w:rsidR="00C72652" w:rsidRDefault="00C72652" w:rsidP="00C72652">
      <w:pPr>
        <w:autoSpaceDE w:val="0"/>
        <w:autoSpaceDN w:val="0"/>
        <w:adjustRightInd w:val="0"/>
        <w:rPr>
          <w:rFonts w:ascii="Palatino-Italic" w:eastAsia="Palatino-Italic" w:cs="Palatino-Italic"/>
          <w:i/>
          <w:iCs/>
          <w:kern w:val="0"/>
          <w:sz w:val="18"/>
          <w:szCs w:val="18"/>
        </w:rPr>
      </w:pPr>
      <w:r>
        <w:rPr>
          <w:rFonts w:ascii="Palatino-Roman" w:eastAsia="Palatino-Roman" w:cs="Palatino-Roman"/>
          <w:kern w:val="0"/>
          <w:sz w:val="18"/>
          <w:szCs w:val="18"/>
        </w:rPr>
        <w:t>pleura). SBRT dose schedule started at 10 Gy/fx to 50 Gy and was escalated by 0.5 Gy/fx increments to 12 Gy/fx (60 Gy) every other day over 1.5 to 2 weeks. 120 pts treated with MFU of 26.6 mos. MTD was 12 Gy/fx and dose-limiting toxicity on this arm was 7.2%. Update at ASTRO 2016 included MFU of 33 mos in pts treated to two highest dose cohorts</w:t>
      </w:r>
      <w:r>
        <w:rPr>
          <w:rFonts w:ascii="Palatino-Roman" w:cs="Palatino-Roman" w:hint="eastAsia"/>
          <w:kern w:val="0"/>
          <w:sz w:val="18"/>
          <w:szCs w:val="18"/>
        </w:rPr>
        <w:t xml:space="preserve"> </w:t>
      </w:r>
      <w:r>
        <w:rPr>
          <w:rFonts w:ascii="Palatino-Roman" w:eastAsia="Palatino-Roman" w:cs="Palatino-Roman"/>
          <w:kern w:val="0"/>
          <w:sz w:val="18"/>
          <w:szCs w:val="18"/>
        </w:rPr>
        <w:t xml:space="preserve">(11.5 Gy/fx and 12 Gy/fx). 2-yr LC (~88%), PFS (~53%), and OS (~70%) with 7/33 pts with grade 3+ toxicity. </w:t>
      </w:r>
      <w:r>
        <w:rPr>
          <w:rFonts w:ascii="Palatino-Bold" w:eastAsia="Palatino-Bold" w:cs="Palatino-Bold"/>
          <w:b/>
          <w:bCs/>
          <w:kern w:val="0"/>
          <w:sz w:val="18"/>
          <w:szCs w:val="18"/>
        </w:rPr>
        <w:t>Conclusion: Low but signifi cant toxicity with dose escalation to 60 Gy/5 fx</w:t>
      </w:r>
      <w:r>
        <w:rPr>
          <w:rFonts w:ascii="Palatino-Roman" w:eastAsia="Palatino-Roman" w:cs="Palatino-Roman"/>
          <w:kern w:val="0"/>
          <w:sz w:val="18"/>
          <w:szCs w:val="18"/>
        </w:rPr>
        <w:t xml:space="preserve">. </w:t>
      </w:r>
      <w:r>
        <w:rPr>
          <w:rFonts w:ascii="Palatino-Italic" w:eastAsia="Palatino-Italic" w:cs="Palatino-Italic"/>
          <w:i/>
          <w:iCs/>
          <w:kern w:val="0"/>
          <w:sz w:val="18"/>
          <w:szCs w:val="18"/>
        </w:rPr>
        <w:t xml:space="preserve">Comment: Many ways to qualify as </w:t>
      </w:r>
      <w:r>
        <w:rPr>
          <w:rFonts w:ascii="Palatino-Italic" w:eastAsia="Palatino-Italic" w:cs="Palatino-Italic" w:hint="eastAsia"/>
          <w:i/>
          <w:iCs/>
          <w:kern w:val="0"/>
          <w:sz w:val="18"/>
          <w:szCs w:val="18"/>
        </w:rPr>
        <w:t>“</w:t>
      </w:r>
      <w:r>
        <w:rPr>
          <w:rFonts w:ascii="Palatino-Italic" w:eastAsia="Palatino-Italic" w:cs="Palatino-Italic"/>
          <w:i/>
          <w:iCs/>
          <w:kern w:val="0"/>
          <w:sz w:val="18"/>
          <w:szCs w:val="18"/>
        </w:rPr>
        <w:t>central</w:t>
      </w:r>
      <w:r>
        <w:rPr>
          <w:rFonts w:ascii="Palatino-Italic" w:eastAsia="Palatino-Italic" w:cs="Palatino-Italic" w:hint="eastAsia"/>
          <w:i/>
          <w:iCs/>
          <w:kern w:val="0"/>
          <w:sz w:val="18"/>
          <w:szCs w:val="18"/>
        </w:rPr>
        <w:t>”</w:t>
      </w:r>
      <w:r>
        <w:rPr>
          <w:rFonts w:ascii="Palatino-Italic" w:eastAsia="Palatino-Italic" w:cs="Palatino-Italic"/>
          <w:i/>
          <w:iCs/>
          <w:kern w:val="0"/>
          <w:sz w:val="18"/>
          <w:szCs w:val="18"/>
        </w:rPr>
        <w:t xml:space="preserve"> on this trial besides original Timmerman defi nition.</w:t>
      </w:r>
    </w:p>
    <w:p w:rsidR="00C72652" w:rsidRDefault="00C72652" w:rsidP="00C72652">
      <w:pPr>
        <w:autoSpaceDE w:val="0"/>
        <w:autoSpaceDN w:val="0"/>
        <w:adjustRightInd w:val="0"/>
        <w:rPr>
          <w:rFonts w:ascii="Palatino-Italic" w:eastAsia="Palatino-Italic" w:cs="Palatino-Italic"/>
          <w:i/>
          <w:iCs/>
          <w:kern w:val="0"/>
          <w:sz w:val="18"/>
          <w:szCs w:val="18"/>
        </w:rPr>
      </w:pPr>
    </w:p>
    <w:p w:rsidR="00C72652" w:rsidRDefault="00C72652" w:rsidP="00C72652">
      <w:pPr>
        <w:autoSpaceDE w:val="0"/>
        <w:autoSpaceDN w:val="0"/>
        <w:adjustRightInd w:val="0"/>
        <w:rPr>
          <w:rFonts w:ascii="WgspvqFsxpfkNewAster" w:eastAsia="WgspvqFsxpfkNewAster" w:cs="WgspvqFsxpfkNewAster"/>
          <w:color w:val="000000"/>
          <w:kern w:val="0"/>
          <w:sz w:val="18"/>
          <w:szCs w:val="18"/>
        </w:rPr>
      </w:pPr>
      <w:r w:rsidRPr="00C72652">
        <w:rPr>
          <w:rFonts w:ascii="WgspvqFsxpfkNewAster" w:eastAsia="WgspvqFsxpfkNewAster" w:cs="WgspvqFsxpfkNewAster"/>
          <w:color w:val="000000"/>
          <w:kern w:val="0"/>
          <w:sz w:val="18"/>
          <w:szCs w:val="18"/>
          <w:highlight w:val="yellow"/>
        </w:rPr>
        <w:t>RTOG 0813</w:t>
      </w:r>
      <w:r>
        <w:rPr>
          <w:rFonts w:ascii="WgspvqFsxpfkNewAster" w:eastAsia="WgspvqFsxpfkNewAster" w:cs="WgspvqFsxpfkNewAster"/>
          <w:color w:val="000000"/>
          <w:kern w:val="0"/>
          <w:sz w:val="18"/>
          <w:szCs w:val="18"/>
        </w:rPr>
        <w:t xml:space="preserve"> (Bezjak ASTRO </w:t>
      </w:r>
      <w:r>
        <w:rPr>
          <w:rFonts w:ascii="WgspvqFsxpfkNewAster" w:eastAsia="WgspvqFsxpfkNewAster" w:cs="WgspvqFsxpfkNewAster"/>
          <w:color w:val="0000FB"/>
          <w:kern w:val="0"/>
          <w:sz w:val="18"/>
          <w:szCs w:val="18"/>
        </w:rPr>
        <w:t>2016</w:t>
      </w:r>
      <w:r>
        <w:rPr>
          <w:rFonts w:ascii="WgspvqFsxpfkNewAster" w:eastAsia="WgspvqFsxpfkNewAster" w:cs="WgspvqFsxpfkNewAster"/>
          <w:color w:val="000000"/>
          <w:kern w:val="0"/>
          <w:sz w:val="18"/>
          <w:szCs w:val="18"/>
        </w:rPr>
        <w:t>) Phase I/II dose escalation trial for medically inoperable early-stage NSCLC with centrally located lesions (&lt;2 cm from the bronchial tree). Dose escalated from 50 Gy in 5 fractions to 60 Gy in 5 fractions. 38 pts 57.5 Gy, 33 pts 60 Gy. 2 yr LC 88</w:t>
      </w:r>
      <w:r>
        <w:rPr>
          <w:rFonts w:ascii="WgspvqFsxpfkNewAster" w:eastAsia="WgspvqFsxpfkNewAster" w:cs="WgspvqFsxpfkNewAster" w:hint="eastAsia"/>
          <w:color w:val="000000"/>
          <w:kern w:val="0"/>
          <w:sz w:val="18"/>
          <w:szCs w:val="18"/>
        </w:rPr>
        <w:t>–</w:t>
      </w:r>
      <w:r>
        <w:rPr>
          <w:rFonts w:ascii="WgspvqFsxpfkNewAster" w:eastAsia="WgspvqFsxpfkNewAster" w:cs="WgspvqFsxpfkNewAster"/>
          <w:color w:val="000000"/>
          <w:kern w:val="0"/>
          <w:sz w:val="18"/>
          <w:szCs w:val="18"/>
        </w:rPr>
        <w:t>89%, PFS 52</w:t>
      </w:r>
      <w:r>
        <w:rPr>
          <w:rFonts w:ascii="WgspvqFsxpfkNewAster" w:eastAsia="WgspvqFsxpfkNewAster" w:cs="WgspvqFsxpfkNewAster" w:hint="eastAsia"/>
          <w:color w:val="000000"/>
          <w:kern w:val="0"/>
          <w:sz w:val="18"/>
          <w:szCs w:val="18"/>
        </w:rPr>
        <w:t>–</w:t>
      </w:r>
      <w:r>
        <w:rPr>
          <w:rFonts w:ascii="WgspvqFsxpfkNewAster" w:eastAsia="WgspvqFsxpfkNewAster" w:cs="WgspvqFsxpfkNewAster"/>
          <w:color w:val="000000"/>
          <w:kern w:val="0"/>
          <w:sz w:val="18"/>
          <w:szCs w:val="18"/>
        </w:rPr>
        <w:t>55%, OS 70</w:t>
      </w:r>
      <w:r>
        <w:rPr>
          <w:rFonts w:ascii="WgspvqFsxpfkNewAster" w:eastAsia="WgspvqFsxpfkNewAster" w:cs="WgspvqFsxpfkNewAster" w:hint="eastAsia"/>
          <w:color w:val="000000"/>
          <w:kern w:val="0"/>
          <w:sz w:val="18"/>
          <w:szCs w:val="18"/>
        </w:rPr>
        <w:t>–</w:t>
      </w:r>
      <w:r>
        <w:rPr>
          <w:rFonts w:ascii="WgspvqFsxpfkNewAster" w:eastAsia="WgspvqFsxpfkNewAster" w:cs="WgspvqFsxpfkNewAster"/>
          <w:color w:val="000000"/>
          <w:kern w:val="0"/>
          <w:sz w:val="18"/>
          <w:szCs w:val="18"/>
        </w:rPr>
        <w:t>73%, grade 3 toxicity 6</w:t>
      </w:r>
      <w:r>
        <w:rPr>
          <w:rFonts w:ascii="WgspvqFsxpfkNewAster" w:eastAsia="WgspvqFsxpfkNewAster" w:cs="WgspvqFsxpfkNewAster" w:hint="eastAsia"/>
          <w:color w:val="000000"/>
          <w:kern w:val="0"/>
          <w:sz w:val="18"/>
          <w:szCs w:val="18"/>
        </w:rPr>
        <w:t>–</w:t>
      </w:r>
      <w:r>
        <w:rPr>
          <w:rFonts w:ascii="WgspvqFsxpfkNewAster" w:eastAsia="WgspvqFsxpfkNewAster" w:cs="WgspvqFsxpfkNewAster"/>
          <w:color w:val="000000"/>
          <w:kern w:val="0"/>
          <w:sz w:val="18"/>
          <w:szCs w:val="18"/>
        </w:rPr>
        <w:t>7%.</w:t>
      </w:r>
    </w:p>
    <w:p w:rsidR="00C72652" w:rsidRDefault="00C72652" w:rsidP="00C72652">
      <w:pPr>
        <w:autoSpaceDE w:val="0"/>
        <w:autoSpaceDN w:val="0"/>
        <w:adjustRightInd w:val="0"/>
        <w:rPr>
          <w:rFonts w:ascii="WgspvqFsxpfkNewAster" w:eastAsia="WgspvqFsxpfkNewAster" w:cs="WgspvqFsxpfkNewAster"/>
          <w:color w:val="000000"/>
          <w:kern w:val="0"/>
          <w:sz w:val="18"/>
          <w:szCs w:val="18"/>
        </w:rPr>
      </w:pPr>
    </w:p>
    <w:p w:rsidR="00C72652" w:rsidRDefault="00C72652" w:rsidP="00C72652">
      <w:pPr>
        <w:autoSpaceDE w:val="0"/>
        <w:autoSpaceDN w:val="0"/>
        <w:adjustRightInd w:val="0"/>
        <w:rPr>
          <w:rFonts w:ascii="Palatino-Bold" w:eastAsia="Palatino-Bold" w:cs="Palatino-Bold"/>
          <w:b/>
          <w:bCs/>
          <w:kern w:val="0"/>
          <w:sz w:val="18"/>
          <w:szCs w:val="18"/>
        </w:rPr>
      </w:pPr>
      <w:r>
        <w:rPr>
          <w:rFonts w:ascii="Palatino-Bold" w:eastAsia="Palatino-Bold" w:cs="Palatino-Bold"/>
          <w:b/>
          <w:bCs/>
          <w:kern w:val="0"/>
          <w:sz w:val="18"/>
          <w:szCs w:val="18"/>
        </w:rPr>
        <w:t xml:space="preserve">Timmerman, </w:t>
      </w:r>
      <w:r w:rsidRPr="00C72652">
        <w:rPr>
          <w:rFonts w:ascii="Palatino-Bold" w:eastAsia="Palatino-Bold" w:cs="Palatino-Bold"/>
          <w:b/>
          <w:bCs/>
          <w:kern w:val="0"/>
          <w:sz w:val="18"/>
          <w:szCs w:val="18"/>
          <w:highlight w:val="yellow"/>
        </w:rPr>
        <w:t>RTOG 0618</w:t>
      </w:r>
      <w:r>
        <w:rPr>
          <w:rFonts w:ascii="Palatino-Bold" w:eastAsia="Palatino-Bold" w:cs="Palatino-Bold"/>
          <w:b/>
          <w:bCs/>
          <w:kern w:val="0"/>
          <w:sz w:val="18"/>
          <w:szCs w:val="18"/>
        </w:rPr>
        <w:t xml:space="preserve"> (</w:t>
      </w:r>
      <w:r>
        <w:rPr>
          <w:rFonts w:ascii="Palatino-BoldItalic" w:eastAsia="Palatino-BoldItalic" w:cs="Palatino-BoldItalic"/>
          <w:b/>
          <w:bCs/>
          <w:i/>
          <w:iCs/>
          <w:kern w:val="0"/>
          <w:sz w:val="18"/>
          <w:szCs w:val="18"/>
        </w:rPr>
        <w:t xml:space="preserve">ASCO </w:t>
      </w:r>
      <w:r>
        <w:rPr>
          <w:rFonts w:ascii="Palatino-Bold" w:eastAsia="Palatino-Bold" w:cs="Palatino-Bold"/>
          <w:b/>
          <w:bCs/>
          <w:kern w:val="0"/>
          <w:sz w:val="18"/>
          <w:szCs w:val="18"/>
        </w:rPr>
        <w:t xml:space="preserve">2013, Abstract 7523): </w:t>
      </w:r>
      <w:r>
        <w:rPr>
          <w:rFonts w:ascii="Palatino-Roman" w:eastAsia="Palatino-Roman" w:cs="Palatino-Roman"/>
          <w:kern w:val="0"/>
          <w:sz w:val="18"/>
          <w:szCs w:val="18"/>
        </w:rPr>
        <w:t>Single-arm phase II study of SBRT in pts with operable stage I/II NSCLC (peripheral location, T1-3N0 &lt;5 cm) treated with 60 Gy/3 fx. Primary endpoint was tumor control with early surgical salvage as part of protocol design in event of LR. 33 pts with MFU of 25 mos. 2-yr LF (primary tumor plus involved lobe) was 19.2%, regional failure was 11.7%, and distant failure was 15.4%. 2-yr</w:t>
      </w:r>
      <w:r>
        <w:rPr>
          <w:rFonts w:ascii="Palatino-Roman" w:cs="Palatino-Roman" w:hint="eastAsia"/>
          <w:kern w:val="0"/>
          <w:sz w:val="18"/>
          <w:szCs w:val="18"/>
        </w:rPr>
        <w:t xml:space="preserve"> </w:t>
      </w:r>
      <w:r>
        <w:rPr>
          <w:rFonts w:ascii="Palatino-Roman" w:eastAsia="Palatino-Roman" w:cs="Palatino-Roman"/>
          <w:kern w:val="0"/>
          <w:sz w:val="18"/>
          <w:szCs w:val="18"/>
        </w:rPr>
        <w:t xml:space="preserve">PFS was 65.4% and OS was 84.4%. </w:t>
      </w:r>
      <w:r>
        <w:rPr>
          <w:rFonts w:ascii="Palatino-Bold" w:eastAsia="Palatino-Bold" w:cs="Palatino-Bold"/>
          <w:b/>
          <w:bCs/>
          <w:kern w:val="0"/>
          <w:sz w:val="18"/>
          <w:szCs w:val="18"/>
        </w:rPr>
        <w:t>Conclusion: SBRT appears to be associated with high tumor control rates and infrequent need for surgical salvage.</w:t>
      </w:r>
    </w:p>
    <w:p w:rsidR="00C72652" w:rsidRDefault="00C72652" w:rsidP="00C72652">
      <w:pPr>
        <w:autoSpaceDE w:val="0"/>
        <w:autoSpaceDN w:val="0"/>
        <w:adjustRightInd w:val="0"/>
        <w:rPr>
          <w:rFonts w:ascii="Palatino-Bold" w:eastAsia="Palatino-Bold" w:cs="Palatino-Bold"/>
          <w:b/>
          <w:bCs/>
          <w:kern w:val="0"/>
          <w:sz w:val="18"/>
          <w:szCs w:val="18"/>
        </w:rPr>
      </w:pPr>
    </w:p>
    <w:p w:rsidR="00C72652" w:rsidRDefault="00C72652" w:rsidP="00C72652">
      <w:pPr>
        <w:autoSpaceDE w:val="0"/>
        <w:autoSpaceDN w:val="0"/>
        <w:adjustRightInd w:val="0"/>
        <w:rPr>
          <w:rFonts w:ascii="WgspvqFsxpfkNewAster" w:eastAsia="WgspvqFsxpfkNewAster" w:cs="WgspvqFsxpfkNewAster"/>
          <w:color w:val="000000"/>
          <w:kern w:val="0"/>
          <w:sz w:val="18"/>
          <w:szCs w:val="18"/>
        </w:rPr>
      </w:pPr>
      <w:r w:rsidRPr="00C72652">
        <w:rPr>
          <w:rFonts w:ascii="WgspvqFsxpfkNewAster" w:eastAsia="WgspvqFsxpfkNewAster" w:cs="WgspvqFsxpfkNewAster"/>
          <w:color w:val="000000"/>
          <w:kern w:val="0"/>
          <w:sz w:val="18"/>
          <w:szCs w:val="18"/>
          <w:highlight w:val="yellow"/>
        </w:rPr>
        <w:t>RTOG 0618</w:t>
      </w:r>
      <w:r>
        <w:rPr>
          <w:rFonts w:ascii="WgspvqFsxpfkNewAster" w:eastAsia="WgspvqFsxpfkNewAster" w:cs="WgspvqFsxpfkNewAster"/>
          <w:color w:val="000000"/>
          <w:kern w:val="0"/>
          <w:sz w:val="18"/>
          <w:szCs w:val="18"/>
        </w:rPr>
        <w:t xml:space="preserve"> (Timmerman ASCO </w:t>
      </w:r>
      <w:r>
        <w:rPr>
          <w:rFonts w:ascii="WgspvqFsxpfkNewAster" w:eastAsia="WgspvqFsxpfkNewAster" w:cs="WgspvqFsxpfkNewAster"/>
          <w:color w:val="0000FB"/>
          <w:kern w:val="0"/>
          <w:sz w:val="18"/>
          <w:szCs w:val="18"/>
        </w:rPr>
        <w:t>2013</w:t>
      </w:r>
      <w:r>
        <w:rPr>
          <w:rFonts w:ascii="WgspvqFsxpfkNewAster" w:eastAsia="WgspvqFsxpfkNewAster" w:cs="WgspvqFsxpfkNewAster"/>
          <w:color w:val="000000"/>
          <w:kern w:val="0"/>
          <w:sz w:val="18"/>
          <w:szCs w:val="18"/>
        </w:rPr>
        <w:t>): Patients with medically operable T1-T3N0 (</w:t>
      </w:r>
      <w:r>
        <w:rPr>
          <w:rFonts w:ascii="Times New Roman" w:eastAsia="PnrrypFwdygnSTIXGeneral-Regular" w:hAnsi="Times New Roman" w:cs="Times New Roman"/>
          <w:color w:val="000000"/>
          <w:kern w:val="0"/>
          <w:sz w:val="18"/>
          <w:szCs w:val="18"/>
        </w:rPr>
        <w:t>≤</w:t>
      </w:r>
      <w:r>
        <w:rPr>
          <w:rFonts w:ascii="WgspvqFsxpfkNewAster" w:eastAsia="WgspvqFsxpfkNewAster" w:cs="WgspvqFsxpfkNewAster"/>
          <w:color w:val="000000"/>
          <w:kern w:val="0"/>
          <w:sz w:val="18"/>
          <w:szCs w:val="18"/>
        </w:rPr>
        <w:t>5 cm) NSCLC &gt;2 cm from proximal bronchial tree treated with 60 Gy in 3 fractions (54 Gy with heterogeneity correction). 2-year primary failure rate 7.8%, local failure (including ipsilateral lobe) 19.2%, OS 84%. 16% grade 3 toxicity.</w:t>
      </w:r>
    </w:p>
    <w:p w:rsidR="00C72652" w:rsidRDefault="00C72652" w:rsidP="00C72652">
      <w:pPr>
        <w:autoSpaceDE w:val="0"/>
        <w:autoSpaceDN w:val="0"/>
        <w:adjustRightInd w:val="0"/>
        <w:rPr>
          <w:rFonts w:ascii="WgspvqFsxpfkNewAster" w:eastAsia="WgspvqFsxpfkNewAster" w:cs="WgspvqFsxpfkNewAster"/>
          <w:color w:val="000000"/>
          <w:kern w:val="0"/>
          <w:sz w:val="18"/>
          <w:szCs w:val="18"/>
        </w:rPr>
      </w:pPr>
    </w:p>
    <w:p w:rsidR="00C72652" w:rsidRDefault="00C72652" w:rsidP="00C72652">
      <w:pPr>
        <w:autoSpaceDE w:val="0"/>
        <w:autoSpaceDN w:val="0"/>
        <w:adjustRightInd w:val="0"/>
        <w:rPr>
          <w:rFonts w:ascii="Palatino-Roman" w:eastAsia="Palatino-Roman" w:cs="Palatino-Roman"/>
          <w:kern w:val="0"/>
          <w:sz w:val="18"/>
          <w:szCs w:val="18"/>
        </w:rPr>
      </w:pPr>
      <w:r>
        <w:rPr>
          <w:rFonts w:ascii="Palatino-Bold" w:eastAsia="Palatino-Bold" w:cs="Palatino-Bold"/>
          <w:b/>
          <w:bCs/>
          <w:kern w:val="0"/>
          <w:sz w:val="18"/>
          <w:szCs w:val="18"/>
        </w:rPr>
        <w:lastRenderedPageBreak/>
        <w:t xml:space="preserve">Videtic, </w:t>
      </w:r>
      <w:r w:rsidRPr="00C72652">
        <w:rPr>
          <w:rFonts w:ascii="Palatino-Bold" w:eastAsia="Palatino-Bold" w:cs="Palatino-Bold"/>
          <w:b/>
          <w:bCs/>
          <w:kern w:val="0"/>
          <w:sz w:val="18"/>
          <w:szCs w:val="18"/>
          <w:highlight w:val="yellow"/>
        </w:rPr>
        <w:t>RTOG 0915</w:t>
      </w:r>
      <w:r>
        <w:rPr>
          <w:rFonts w:ascii="Palatino-Bold" w:eastAsia="Palatino-Bold" w:cs="Palatino-Bold"/>
          <w:b/>
          <w:bCs/>
          <w:kern w:val="0"/>
          <w:sz w:val="18"/>
          <w:szCs w:val="18"/>
        </w:rPr>
        <w:t xml:space="preserve"> (</w:t>
      </w:r>
      <w:r>
        <w:rPr>
          <w:rFonts w:ascii="Palatino-BoldItalic" w:eastAsia="Palatino-BoldItalic" w:cs="Palatino-BoldItalic"/>
          <w:b/>
          <w:bCs/>
          <w:i/>
          <w:iCs/>
          <w:kern w:val="0"/>
          <w:sz w:val="18"/>
          <w:szCs w:val="18"/>
        </w:rPr>
        <w:t xml:space="preserve">IJROBP </w:t>
      </w:r>
      <w:r>
        <w:rPr>
          <w:rFonts w:ascii="Palatino-Bold" w:eastAsia="Palatino-Bold" w:cs="Palatino-Bold"/>
          <w:b/>
          <w:bCs/>
          <w:kern w:val="0"/>
          <w:sz w:val="18"/>
          <w:szCs w:val="18"/>
        </w:rPr>
        <w:t xml:space="preserve">2015, PMID 26530743): </w:t>
      </w:r>
      <w:r>
        <w:rPr>
          <w:rFonts w:ascii="Palatino-Roman" w:eastAsia="Palatino-Roman" w:cs="Palatino-Roman"/>
          <w:kern w:val="0"/>
          <w:sz w:val="18"/>
          <w:szCs w:val="18"/>
        </w:rPr>
        <w:t xml:space="preserve">Randomized phase II study of 94 medically inoperable T1-2N0 by PET comparing 34 Gy/1 fx (arm 1) to 48 Gy/4 fx (arm 2). Powered to detect adverse event (AE) rate &gt;17%. Secondary endpoints: LC, OS, and PFS. MFU: 30.2 mos. AEs experienced by 10.3% of pts in arm 1 and 13.3% in arm 2. LC at 1 yr: </w:t>
      </w:r>
    </w:p>
    <w:p w:rsidR="00C72652" w:rsidRDefault="00C72652" w:rsidP="00C72652">
      <w:pPr>
        <w:autoSpaceDE w:val="0"/>
        <w:autoSpaceDN w:val="0"/>
        <w:adjustRightInd w:val="0"/>
        <w:rPr>
          <w:rFonts w:ascii="Palatino-Bold" w:eastAsia="Palatino-Bold" w:cs="Palatino-Bold"/>
          <w:b/>
          <w:bCs/>
          <w:kern w:val="0"/>
          <w:sz w:val="18"/>
          <w:szCs w:val="18"/>
        </w:rPr>
      </w:pPr>
      <w:r>
        <w:rPr>
          <w:rFonts w:ascii="Palatino-Roman" w:eastAsia="Palatino-Roman" w:cs="Palatino-Roman"/>
          <w:kern w:val="0"/>
          <w:sz w:val="18"/>
          <w:szCs w:val="18"/>
        </w:rPr>
        <w:t xml:space="preserve">97.0% for arm 1 and 92.7% for arm 2. 2-yr OS rate: 61.3% for arm 1 and 77.7% for arm 2. 2-yr DFS: 56.4% for arm 1 and 71.1% for arm 2. </w:t>
      </w:r>
      <w:r>
        <w:rPr>
          <w:rFonts w:ascii="Palatino-Bold" w:eastAsia="Palatino-Bold" w:cs="Palatino-Bold"/>
          <w:b/>
          <w:bCs/>
          <w:kern w:val="0"/>
          <w:sz w:val="18"/>
          <w:szCs w:val="18"/>
        </w:rPr>
        <w:t>Conclusion: 34 Gy/1 fx yielded lower toxicity rate for comparable LC; 34 Gy/1 fx deserves further study.</w:t>
      </w:r>
    </w:p>
    <w:p w:rsidR="00C72652" w:rsidRDefault="00C72652" w:rsidP="00C72652">
      <w:pPr>
        <w:autoSpaceDE w:val="0"/>
        <w:autoSpaceDN w:val="0"/>
        <w:adjustRightInd w:val="0"/>
        <w:rPr>
          <w:rFonts w:ascii="Palatino-Bold" w:eastAsia="Palatino-Bold" w:cs="Palatino-Bold"/>
          <w:b/>
          <w:bCs/>
          <w:kern w:val="0"/>
          <w:sz w:val="18"/>
          <w:szCs w:val="18"/>
        </w:rPr>
      </w:pPr>
    </w:p>
    <w:p w:rsidR="00C72652" w:rsidRDefault="00C72652" w:rsidP="00C72652">
      <w:pPr>
        <w:autoSpaceDE w:val="0"/>
        <w:autoSpaceDN w:val="0"/>
        <w:adjustRightInd w:val="0"/>
        <w:rPr>
          <w:rFonts w:ascii="WgspvqFsxpfkNewAster" w:eastAsia="WgspvqFsxpfkNewAster" w:cs="WgspvqFsxpfkNewAster"/>
          <w:color w:val="000000"/>
          <w:kern w:val="0"/>
          <w:sz w:val="18"/>
          <w:szCs w:val="18"/>
        </w:rPr>
      </w:pPr>
      <w:r w:rsidRPr="00C72652">
        <w:rPr>
          <w:rFonts w:ascii="WgspvqFsxpfkNewAster" w:eastAsia="WgspvqFsxpfkNewAster" w:cs="WgspvqFsxpfkNewAster"/>
          <w:color w:val="000000"/>
          <w:kern w:val="0"/>
          <w:sz w:val="18"/>
          <w:szCs w:val="18"/>
          <w:highlight w:val="yellow"/>
        </w:rPr>
        <w:t>RTOG 0915 (</w:t>
      </w:r>
      <w:r>
        <w:rPr>
          <w:rFonts w:ascii="WgspvqFsxpfkNewAster" w:eastAsia="WgspvqFsxpfkNewAster" w:cs="WgspvqFsxpfkNewAster"/>
          <w:color w:val="000000"/>
          <w:kern w:val="0"/>
          <w:sz w:val="18"/>
          <w:szCs w:val="18"/>
        </w:rPr>
        <w:t xml:space="preserve">Videtic IJROBP </w:t>
      </w:r>
      <w:r>
        <w:rPr>
          <w:rFonts w:ascii="WgspvqFsxpfkNewAster" w:eastAsia="WgspvqFsxpfkNewAster" w:cs="WgspvqFsxpfkNewAster"/>
          <w:color w:val="0000FB"/>
          <w:kern w:val="0"/>
          <w:sz w:val="18"/>
          <w:szCs w:val="18"/>
        </w:rPr>
        <w:t>2015</w:t>
      </w:r>
      <w:r>
        <w:rPr>
          <w:rFonts w:ascii="WgspvqFsxpfkNewAster" w:eastAsia="WgspvqFsxpfkNewAster" w:cs="WgspvqFsxpfkNewAster"/>
          <w:color w:val="000000"/>
          <w:kern w:val="0"/>
          <w:sz w:val="18"/>
          <w:szCs w:val="18"/>
        </w:rPr>
        <w:t>): Phase II randomized study of 34 Gy in 1 fraction vs 48 Gy in 4 fractions for medically inoperable T1-3N0 (</w:t>
      </w:r>
      <w:r>
        <w:rPr>
          <w:rFonts w:ascii="Times New Roman" w:eastAsia="PnrrypFwdygnSTIXGeneral-Regular" w:hAnsi="Times New Roman" w:cs="Times New Roman"/>
          <w:color w:val="000000"/>
          <w:kern w:val="0"/>
          <w:sz w:val="18"/>
          <w:szCs w:val="18"/>
        </w:rPr>
        <w:t>≤</w:t>
      </w:r>
      <w:r>
        <w:rPr>
          <w:rFonts w:ascii="WgspvqFsxpfkNewAster" w:eastAsia="WgspvqFsxpfkNewAster" w:cs="WgspvqFsxpfkNewAster"/>
          <w:color w:val="000000"/>
          <w:kern w:val="0"/>
          <w:sz w:val="18"/>
          <w:szCs w:val="18"/>
        </w:rPr>
        <w:t>5 cm) NSCLC. Single fraction arm had lower risk of serious adverse events (10.3 vs 13.3%). 2-year primary control, OS, and DFS were 97% vs 93%, 61% vs 77%, and 56% vs 71%, respectively.</w:t>
      </w:r>
    </w:p>
    <w:p w:rsidR="00C72652" w:rsidRDefault="00C72652" w:rsidP="00C72652">
      <w:pPr>
        <w:autoSpaceDE w:val="0"/>
        <w:autoSpaceDN w:val="0"/>
        <w:adjustRightInd w:val="0"/>
        <w:rPr>
          <w:rFonts w:ascii="WgspvqFsxpfkNewAster" w:eastAsia="WgspvqFsxpfkNewAster" w:cs="WgspvqFsxpfkNewAster"/>
          <w:color w:val="000000"/>
          <w:kern w:val="0"/>
          <w:sz w:val="18"/>
          <w:szCs w:val="18"/>
        </w:rPr>
      </w:pPr>
    </w:p>
    <w:p w:rsidR="00E1460D" w:rsidRDefault="00E1460D" w:rsidP="00E1460D">
      <w:pPr>
        <w:autoSpaceDE w:val="0"/>
        <w:autoSpaceDN w:val="0"/>
        <w:adjustRightInd w:val="0"/>
        <w:rPr>
          <w:rFonts w:ascii="Palatino-Bold" w:eastAsia="Palatino-Bold" w:cs="Palatino-Bold"/>
          <w:b/>
          <w:bCs/>
          <w:kern w:val="0"/>
          <w:sz w:val="18"/>
          <w:szCs w:val="18"/>
        </w:rPr>
      </w:pPr>
      <w:r>
        <w:rPr>
          <w:rFonts w:ascii="Palatino-Bold" w:eastAsia="Palatino-Bold" w:cs="Palatino-Bold"/>
          <w:b/>
          <w:bCs/>
          <w:kern w:val="0"/>
          <w:sz w:val="18"/>
          <w:szCs w:val="18"/>
        </w:rPr>
        <w:t>Radiation:</w:t>
      </w:r>
    </w:p>
    <w:p w:rsidR="00E1460D" w:rsidRDefault="00E1460D" w:rsidP="00E1460D">
      <w:pPr>
        <w:autoSpaceDE w:val="0"/>
        <w:autoSpaceDN w:val="0"/>
        <w:adjustRightInd w:val="0"/>
        <w:rPr>
          <w:rFonts w:ascii="Palatino-Roman" w:eastAsia="Palatino-Roman" w:cs="Palatino-Roman"/>
          <w:kern w:val="0"/>
          <w:sz w:val="18"/>
          <w:szCs w:val="18"/>
        </w:rPr>
      </w:pPr>
      <w:r>
        <w:rPr>
          <w:rFonts w:ascii="Palatino-Italic" w:eastAsia="Palatino-Italic" w:cs="Palatino-Italic"/>
          <w:i/>
          <w:iCs/>
          <w:kern w:val="0"/>
          <w:sz w:val="18"/>
          <w:szCs w:val="18"/>
        </w:rPr>
        <w:t xml:space="preserve">Indications: </w:t>
      </w:r>
      <w:r>
        <w:rPr>
          <w:rFonts w:ascii="Palatino-Roman" w:eastAsia="Palatino-Roman" w:cs="Palatino-Roman"/>
          <w:kern w:val="0"/>
          <w:sz w:val="18"/>
          <w:szCs w:val="18"/>
        </w:rPr>
        <w:t>Historically, fractionated RT was standard treatment for medically inoperable pts, with results inferior to surgery. SBRT, however, may be comparable to surgery and it is considered standard (rather than wedge or RFA) for medically inoperable pts. Adjuvant RT is not indicated in completely resected stage I/II pts (although Italian trial by Trodella et al. does show benefi t; other trials have not).</w:t>
      </w:r>
    </w:p>
    <w:p w:rsidR="00E1460D" w:rsidRDefault="00E1460D" w:rsidP="00E1460D">
      <w:pPr>
        <w:autoSpaceDE w:val="0"/>
        <w:autoSpaceDN w:val="0"/>
        <w:adjustRightInd w:val="0"/>
        <w:rPr>
          <w:rFonts w:ascii="Palatino-Roman" w:eastAsia="Palatino-Roman" w:cs="Palatino-Roman"/>
          <w:kern w:val="0"/>
          <w:sz w:val="18"/>
          <w:szCs w:val="18"/>
        </w:rPr>
      </w:pPr>
      <w:r>
        <w:rPr>
          <w:rFonts w:ascii="Palatino-Italic" w:eastAsia="Palatino-Italic" w:cs="Palatino-Italic"/>
          <w:i/>
          <w:iCs/>
          <w:kern w:val="0"/>
          <w:sz w:val="18"/>
          <w:szCs w:val="18"/>
        </w:rPr>
        <w:t xml:space="preserve">Dose: </w:t>
      </w:r>
      <w:r>
        <w:rPr>
          <w:rFonts w:ascii="Palatino-Roman" w:eastAsia="Palatino-Roman" w:cs="Palatino-Roman"/>
          <w:kern w:val="0"/>
          <w:sz w:val="18"/>
          <w:szCs w:val="18"/>
        </w:rPr>
        <w:t xml:space="preserve">Post-op dose is 54 to 60 Gy for microscopically (R1) positive margins and </w:t>
      </w:r>
      <w:r>
        <w:rPr>
          <w:rFonts w:ascii="Symbol" w:eastAsia="Palatino-Bold" w:hAnsi="Symbol" w:cs="Symbol"/>
          <w:kern w:val="0"/>
          <w:sz w:val="18"/>
          <w:szCs w:val="18"/>
        </w:rPr>
        <w:t>≥</w:t>
      </w:r>
      <w:r>
        <w:rPr>
          <w:rFonts w:ascii="Palatino-Roman" w:eastAsia="Palatino-Roman" w:cs="Palatino-Roman"/>
          <w:kern w:val="0"/>
          <w:sz w:val="18"/>
          <w:szCs w:val="18"/>
        </w:rPr>
        <w:t>60 Gy for macroscopically (R2) positive margins.</w:t>
      </w:r>
      <w:r>
        <w:rPr>
          <w:rFonts w:ascii="Palatino-Roman" w:eastAsia="Palatino-Roman" w:cs="Palatino-Roman"/>
          <w:kern w:val="0"/>
          <w:sz w:val="10"/>
          <w:szCs w:val="10"/>
        </w:rPr>
        <w:t xml:space="preserve">9 </w:t>
      </w:r>
      <w:r>
        <w:rPr>
          <w:rFonts w:ascii="Palatino-Roman" w:eastAsia="Palatino-Roman" w:cs="Palatino-Roman"/>
          <w:kern w:val="0"/>
          <w:sz w:val="18"/>
          <w:szCs w:val="18"/>
        </w:rPr>
        <w:t xml:space="preserve">SBRT given in 1 to 5 fx of 10 to 34 Gy per fx; see the following data. Most common dosing schemes include 50 Gy/5 fx, 60 Gy/3 fx over minimum 8 days (without heterogeneity per </w:t>
      </w:r>
      <w:r w:rsidRPr="00E1460D">
        <w:rPr>
          <w:rFonts w:ascii="Palatino-Roman" w:eastAsia="Palatino-Roman" w:cs="Palatino-Roman"/>
          <w:kern w:val="0"/>
          <w:sz w:val="18"/>
          <w:szCs w:val="18"/>
          <w:highlight w:val="yellow"/>
        </w:rPr>
        <w:t>RTOG 0236</w:t>
      </w:r>
      <w:r>
        <w:rPr>
          <w:rFonts w:ascii="Palatino-Roman" w:eastAsia="Palatino-Roman" w:cs="Palatino-Roman"/>
          <w:kern w:val="0"/>
          <w:sz w:val="18"/>
          <w:szCs w:val="18"/>
        </w:rPr>
        <w:t>), 48 Gy/4 fx, 34 Gy/1 fx (with heterogeneity corrections).</w:t>
      </w:r>
    </w:p>
    <w:p w:rsidR="00E1460D" w:rsidRDefault="00E1460D" w:rsidP="00E1460D">
      <w:pPr>
        <w:autoSpaceDE w:val="0"/>
        <w:autoSpaceDN w:val="0"/>
        <w:adjustRightInd w:val="0"/>
        <w:rPr>
          <w:rFonts w:ascii="Palatino-Roman" w:eastAsia="Palatino-Roman" w:cs="Palatino-Roman"/>
          <w:kern w:val="0"/>
          <w:sz w:val="18"/>
          <w:szCs w:val="18"/>
        </w:rPr>
      </w:pPr>
      <w:r>
        <w:rPr>
          <w:rFonts w:ascii="Palatino-Italic" w:eastAsia="Palatino-Italic" w:cs="Palatino-Italic"/>
          <w:i/>
          <w:iCs/>
          <w:kern w:val="0"/>
          <w:sz w:val="18"/>
          <w:szCs w:val="18"/>
        </w:rPr>
        <w:t xml:space="preserve">Toxicity: </w:t>
      </w:r>
      <w:r>
        <w:rPr>
          <w:rFonts w:ascii="Palatino-Roman" w:eastAsia="Palatino-Roman" w:cs="Palatino-Roman"/>
          <w:kern w:val="0"/>
          <w:sz w:val="18"/>
          <w:szCs w:val="18"/>
        </w:rPr>
        <w:t>Acute: Toxicity with SBRT is minimal; expect some fatigue but most pts will not</w:t>
      </w:r>
    </w:p>
    <w:p w:rsidR="00E1460D" w:rsidRDefault="00E1460D" w:rsidP="00E1460D">
      <w:pPr>
        <w:autoSpaceDE w:val="0"/>
        <w:autoSpaceDN w:val="0"/>
        <w:adjustRightInd w:val="0"/>
        <w:rPr>
          <w:rFonts w:ascii="Palatino-Roman" w:eastAsia="Palatino-Roman" w:cs="Palatino-Roman"/>
          <w:kern w:val="0"/>
          <w:sz w:val="18"/>
          <w:szCs w:val="18"/>
        </w:rPr>
      </w:pPr>
      <w:r>
        <w:rPr>
          <w:rFonts w:ascii="Palatino-Roman" w:eastAsia="Palatino-Roman" w:cs="Palatino-Roman"/>
          <w:kern w:val="0"/>
          <w:sz w:val="18"/>
          <w:szCs w:val="18"/>
        </w:rPr>
        <w:t>experience signifi cant acute effects. Rarely: cough, pneumonitis, esophagitis, subacute</w:t>
      </w:r>
    </w:p>
    <w:p w:rsidR="00E1460D" w:rsidRDefault="00E1460D" w:rsidP="00E1460D">
      <w:pPr>
        <w:autoSpaceDE w:val="0"/>
        <w:autoSpaceDN w:val="0"/>
        <w:adjustRightInd w:val="0"/>
        <w:rPr>
          <w:rFonts w:ascii="Palatino-Roman" w:eastAsia="Palatino-Roman" w:cs="Palatino-Roman"/>
          <w:kern w:val="0"/>
          <w:sz w:val="18"/>
          <w:szCs w:val="18"/>
        </w:rPr>
      </w:pPr>
      <w:r>
        <w:rPr>
          <w:rFonts w:ascii="Palatino-Roman" w:eastAsia="Palatino-Roman" w:cs="Palatino-Roman"/>
          <w:kern w:val="0"/>
          <w:sz w:val="18"/>
          <w:szCs w:val="18"/>
        </w:rPr>
        <w:t>chest wall pain. Late: Radiation pneumonitis, chest wall pain. On average, PFTs remain</w:t>
      </w:r>
    </w:p>
    <w:p w:rsidR="00E1460D" w:rsidRDefault="00E1460D" w:rsidP="00E1460D">
      <w:pPr>
        <w:autoSpaceDE w:val="0"/>
        <w:autoSpaceDN w:val="0"/>
        <w:adjustRightInd w:val="0"/>
        <w:rPr>
          <w:rFonts w:ascii="Palatino-Roman" w:eastAsia="Palatino-Roman" w:cs="Palatino-Roman"/>
          <w:kern w:val="0"/>
          <w:sz w:val="18"/>
          <w:szCs w:val="18"/>
        </w:rPr>
      </w:pPr>
      <w:r>
        <w:rPr>
          <w:rFonts w:ascii="Palatino-Roman" w:eastAsia="Palatino-Roman" w:cs="Palatino-Roman"/>
          <w:kern w:val="0"/>
          <w:sz w:val="18"/>
          <w:szCs w:val="18"/>
        </w:rPr>
        <w:t>stable (some improve, some decrease, often related to baseline comorbidity).</w:t>
      </w:r>
    </w:p>
    <w:p w:rsidR="00C72652" w:rsidRDefault="00E1460D" w:rsidP="00E1460D">
      <w:pPr>
        <w:autoSpaceDE w:val="0"/>
        <w:autoSpaceDN w:val="0"/>
        <w:adjustRightInd w:val="0"/>
        <w:rPr>
          <w:rFonts w:ascii="Palatino-Roman" w:eastAsia="Palatino-Roman" w:cs="Palatino-Roman"/>
          <w:kern w:val="0"/>
          <w:sz w:val="18"/>
          <w:szCs w:val="18"/>
        </w:rPr>
      </w:pPr>
      <w:r>
        <w:rPr>
          <w:rFonts w:ascii="Palatino-Italic" w:eastAsia="Palatino-Italic" w:cs="Palatino-Italic"/>
          <w:i/>
          <w:iCs/>
          <w:kern w:val="0"/>
          <w:sz w:val="18"/>
          <w:szCs w:val="18"/>
        </w:rPr>
        <w:t xml:space="preserve">Procedure: </w:t>
      </w:r>
      <w:r>
        <w:rPr>
          <w:rFonts w:ascii="Palatino-Roman" w:eastAsia="Palatino-Roman" w:cs="Palatino-Roman"/>
          <w:kern w:val="0"/>
          <w:sz w:val="18"/>
          <w:szCs w:val="18"/>
        </w:rPr>
        <w:t>See Treatment Planning Handbook, Chapter 6.</w:t>
      </w:r>
    </w:p>
    <w:p w:rsidR="00E1460D" w:rsidRDefault="00E1460D" w:rsidP="00E1460D">
      <w:pPr>
        <w:autoSpaceDE w:val="0"/>
        <w:autoSpaceDN w:val="0"/>
        <w:adjustRightInd w:val="0"/>
        <w:rPr>
          <w:rFonts w:ascii="Palatino-Roman" w:eastAsia="Palatino-Roman" w:cs="Palatino-Roman"/>
          <w:kern w:val="0"/>
          <w:sz w:val="18"/>
          <w:szCs w:val="18"/>
        </w:rPr>
      </w:pPr>
    </w:p>
    <w:p w:rsidR="00E1460D" w:rsidRDefault="00E1460D" w:rsidP="00E1460D">
      <w:pPr>
        <w:autoSpaceDE w:val="0"/>
        <w:autoSpaceDN w:val="0"/>
        <w:adjustRightInd w:val="0"/>
        <w:rPr>
          <w:rFonts w:ascii="Palatino-Bold" w:eastAsia="Palatino-Bold" w:cs="Palatino-Bold"/>
          <w:b/>
          <w:bCs/>
          <w:kern w:val="0"/>
          <w:sz w:val="18"/>
          <w:szCs w:val="18"/>
        </w:rPr>
      </w:pPr>
      <w:r>
        <w:rPr>
          <w:rFonts w:ascii="Palatino-Bold" w:eastAsia="Palatino-Bold" w:cs="Palatino-Bold"/>
          <w:b/>
          <w:bCs/>
          <w:kern w:val="0"/>
          <w:sz w:val="18"/>
          <w:szCs w:val="18"/>
        </w:rPr>
        <w:t>All of the preceding trials come from single institutions. Are there any cooperative group data?</w:t>
      </w:r>
    </w:p>
    <w:p w:rsidR="00E1460D" w:rsidRDefault="00E1460D" w:rsidP="00E1460D">
      <w:pPr>
        <w:autoSpaceDE w:val="0"/>
        <w:autoSpaceDN w:val="0"/>
        <w:adjustRightInd w:val="0"/>
        <w:rPr>
          <w:rFonts w:ascii="Palatino-Italic" w:eastAsia="Palatino-Italic" w:cs="Palatino-Italic"/>
          <w:i/>
          <w:iCs/>
          <w:kern w:val="0"/>
          <w:sz w:val="18"/>
          <w:szCs w:val="18"/>
        </w:rPr>
      </w:pPr>
      <w:r w:rsidRPr="00E1460D">
        <w:rPr>
          <w:rFonts w:ascii="Palatino-Italic" w:eastAsia="Palatino-Italic" w:cs="Palatino-Italic"/>
          <w:i/>
          <w:iCs/>
          <w:kern w:val="0"/>
          <w:sz w:val="18"/>
          <w:szCs w:val="18"/>
          <w:highlight w:val="yellow"/>
        </w:rPr>
        <w:t xml:space="preserve">RTOG 0236 </w:t>
      </w:r>
      <w:r>
        <w:rPr>
          <w:rFonts w:ascii="Palatino-Italic" w:eastAsia="Palatino-Italic" w:cs="Palatino-Italic"/>
          <w:i/>
          <w:iCs/>
          <w:kern w:val="0"/>
          <w:sz w:val="18"/>
          <w:szCs w:val="18"/>
        </w:rPr>
        <w:t>is probably most important SBRT trial to know, which showed it could be effective in cooperative group setting.</w:t>
      </w:r>
    </w:p>
    <w:p w:rsidR="00E1460D" w:rsidRDefault="00E1460D" w:rsidP="00E1460D">
      <w:pPr>
        <w:autoSpaceDE w:val="0"/>
        <w:autoSpaceDN w:val="0"/>
        <w:adjustRightInd w:val="0"/>
        <w:rPr>
          <w:rFonts w:ascii="Palatino-Roman" w:eastAsia="Palatino-Roman" w:cs="Palatino-Roman"/>
          <w:kern w:val="0"/>
          <w:sz w:val="18"/>
          <w:szCs w:val="18"/>
        </w:rPr>
      </w:pPr>
      <w:r>
        <w:rPr>
          <w:rFonts w:ascii="Palatino-Bold" w:eastAsia="Palatino-Bold" w:cs="Palatino-Bold"/>
          <w:b/>
          <w:bCs/>
          <w:kern w:val="0"/>
          <w:sz w:val="18"/>
          <w:szCs w:val="18"/>
        </w:rPr>
        <w:t xml:space="preserve">Timmerman, </w:t>
      </w:r>
      <w:r w:rsidRPr="00E1460D">
        <w:rPr>
          <w:rFonts w:ascii="Palatino-Bold" w:eastAsia="Palatino-Bold" w:cs="Palatino-Bold"/>
          <w:b/>
          <w:bCs/>
          <w:kern w:val="0"/>
          <w:sz w:val="18"/>
          <w:szCs w:val="18"/>
          <w:highlight w:val="yellow"/>
        </w:rPr>
        <w:t>RTOG 0236</w:t>
      </w:r>
      <w:r>
        <w:rPr>
          <w:rFonts w:ascii="Palatino-Bold" w:eastAsia="Palatino-Bold" w:cs="Palatino-Bold"/>
          <w:b/>
          <w:bCs/>
          <w:kern w:val="0"/>
          <w:sz w:val="18"/>
          <w:szCs w:val="18"/>
        </w:rPr>
        <w:t xml:space="preserve"> (</w:t>
      </w:r>
      <w:r>
        <w:rPr>
          <w:rFonts w:ascii="Palatino-BoldItalic" w:eastAsia="Palatino-BoldItalic" w:cs="Palatino-BoldItalic"/>
          <w:b/>
          <w:bCs/>
          <w:i/>
          <w:iCs/>
          <w:kern w:val="0"/>
          <w:sz w:val="18"/>
          <w:szCs w:val="18"/>
        </w:rPr>
        <w:t xml:space="preserve">JAMA </w:t>
      </w:r>
      <w:r>
        <w:rPr>
          <w:rFonts w:ascii="Palatino-Bold" w:eastAsia="Palatino-Bold" w:cs="Palatino-Bold"/>
          <w:b/>
          <w:bCs/>
          <w:kern w:val="0"/>
          <w:sz w:val="18"/>
          <w:szCs w:val="18"/>
        </w:rPr>
        <w:t xml:space="preserve">2010, PMID 20233825; Update </w:t>
      </w:r>
      <w:r>
        <w:rPr>
          <w:rFonts w:ascii="Palatino-BoldItalic" w:eastAsia="Palatino-BoldItalic" w:cs="Palatino-BoldItalic"/>
          <w:b/>
          <w:bCs/>
          <w:i/>
          <w:iCs/>
          <w:kern w:val="0"/>
          <w:sz w:val="18"/>
          <w:szCs w:val="18"/>
        </w:rPr>
        <w:t xml:space="preserve">ASTRO </w:t>
      </w:r>
      <w:r>
        <w:rPr>
          <w:rFonts w:ascii="Palatino-Bold" w:eastAsia="Palatino-Bold" w:cs="Palatino-Bold"/>
          <w:b/>
          <w:bCs/>
          <w:kern w:val="0"/>
          <w:sz w:val="18"/>
          <w:szCs w:val="18"/>
        </w:rPr>
        <w:t xml:space="preserve">2014, Abstract #56): </w:t>
      </w:r>
      <w:r>
        <w:rPr>
          <w:rFonts w:ascii="Palatino-Roman" w:eastAsia="Palatino-Roman" w:cs="Palatino-Roman"/>
          <w:kern w:val="0"/>
          <w:sz w:val="18"/>
          <w:szCs w:val="18"/>
        </w:rPr>
        <w:t>Phase II multi-institution study of SBRT for medically inoperable stage I/II NSCLC (peripheral location, T1T2N0 &lt;5 cm). Prescription was 60 Gy/3 fx, though later analysis showed dose equivalent to 54 Gy/3 fx after accounting for heterogeneity. Treatment duration</w:t>
      </w:r>
    </w:p>
    <w:p w:rsidR="00E1460D" w:rsidRDefault="00E1460D" w:rsidP="00E1460D">
      <w:pPr>
        <w:autoSpaceDE w:val="0"/>
        <w:autoSpaceDN w:val="0"/>
        <w:adjustRightInd w:val="0"/>
        <w:rPr>
          <w:rFonts w:ascii="Palatino-Roman" w:eastAsia="Palatino-Roman" w:cs="Palatino-Roman"/>
          <w:kern w:val="0"/>
          <w:sz w:val="18"/>
          <w:szCs w:val="18"/>
        </w:rPr>
      </w:pPr>
      <w:r>
        <w:rPr>
          <w:rFonts w:ascii="Palatino-Roman" w:eastAsia="Palatino-Roman" w:cs="Palatino-Roman"/>
          <w:kern w:val="0"/>
          <w:sz w:val="18"/>
          <w:szCs w:val="18"/>
        </w:rPr>
        <w:t xml:space="preserve">was </w:t>
      </w:r>
      <w:r>
        <w:rPr>
          <w:rFonts w:ascii="Times New Roman" w:eastAsia="Palatino-Bold" w:hAnsi="Times New Roman" w:cs="Times New Roman"/>
          <w:kern w:val="0"/>
          <w:sz w:val="18"/>
          <w:szCs w:val="18"/>
        </w:rPr>
        <w:t>≥</w:t>
      </w:r>
      <w:r>
        <w:rPr>
          <w:rFonts w:ascii="Palatino-Roman" w:eastAsia="Palatino-Roman" w:cs="Palatino-Roman"/>
          <w:kern w:val="0"/>
          <w:sz w:val="18"/>
          <w:szCs w:val="18"/>
        </w:rPr>
        <w:t>8 and &lt;14 days. 55 evaluable pts. Grade 3 adverse events 12.7%, grade 4 adverse events 3.6%. No grade 5 adverse events.</w:t>
      </w:r>
    </w:p>
    <w:p w:rsidR="00E1460D" w:rsidRDefault="00E1460D" w:rsidP="00E1460D">
      <w:pPr>
        <w:autoSpaceDE w:val="0"/>
        <w:autoSpaceDN w:val="0"/>
        <w:adjustRightInd w:val="0"/>
        <w:rPr>
          <w:rFonts w:ascii="Palatino-Roman" w:cs="Palatino-Roman"/>
          <w:kern w:val="0"/>
          <w:sz w:val="18"/>
          <w:szCs w:val="18"/>
        </w:rPr>
      </w:pPr>
      <w:r>
        <w:rPr>
          <w:noProof/>
        </w:rPr>
        <w:drawing>
          <wp:inline distT="0" distB="0" distL="0" distR="0" wp14:anchorId="658B29C4" wp14:editId="289BB92C">
            <wp:extent cx="4019550" cy="1743075"/>
            <wp:effectExtent l="0" t="0" r="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19550" cy="1743075"/>
                    </a:xfrm>
                    <a:prstGeom prst="rect">
                      <a:avLst/>
                    </a:prstGeom>
                  </pic:spPr>
                </pic:pic>
              </a:graphicData>
            </a:graphic>
          </wp:inline>
        </w:drawing>
      </w:r>
    </w:p>
    <w:p w:rsidR="00E1460D" w:rsidRDefault="00E1460D" w:rsidP="00E1460D">
      <w:pPr>
        <w:autoSpaceDE w:val="0"/>
        <w:autoSpaceDN w:val="0"/>
        <w:adjustRightInd w:val="0"/>
        <w:rPr>
          <w:rFonts w:ascii="Palatino-Bold" w:eastAsia="Palatino-Bold" w:cs="Palatino-Bold"/>
          <w:b/>
          <w:bCs/>
          <w:kern w:val="0"/>
          <w:sz w:val="18"/>
          <w:szCs w:val="18"/>
        </w:rPr>
      </w:pPr>
      <w:r>
        <w:rPr>
          <w:rFonts w:ascii="Palatino-Roman" w:eastAsia="Palatino-Roman" w:cs="Palatino-Roman"/>
          <w:kern w:val="0"/>
          <w:sz w:val="18"/>
          <w:szCs w:val="18"/>
        </w:rPr>
        <w:t xml:space="preserve">Note: No EBUS was required in </w:t>
      </w:r>
      <w:r w:rsidRPr="00E1460D">
        <w:rPr>
          <w:rFonts w:ascii="Palatino-Roman" w:eastAsia="Palatino-Roman" w:cs="Palatino-Roman"/>
          <w:kern w:val="0"/>
          <w:sz w:val="18"/>
          <w:szCs w:val="18"/>
          <w:highlight w:val="yellow"/>
        </w:rPr>
        <w:t>RTOG 0236</w:t>
      </w:r>
      <w:r>
        <w:rPr>
          <w:rFonts w:ascii="Palatino-Roman" w:eastAsia="Palatino-Roman" w:cs="Palatino-Roman"/>
          <w:kern w:val="0"/>
          <w:sz w:val="18"/>
          <w:szCs w:val="18"/>
        </w:rPr>
        <w:t xml:space="preserve">. Lobar failure is a bigger problem in comparison to lobectomy and would require EBRT-alone salvage as many of these pts are not CHT candidates up-front or in salvage setting. Lobar </w:t>
      </w:r>
      <w:r>
        <w:rPr>
          <w:rFonts w:ascii="Palatino-Roman" w:eastAsia="Palatino-Roman" w:cs="Palatino-Roman"/>
          <w:kern w:val="0"/>
          <w:sz w:val="18"/>
          <w:szCs w:val="18"/>
        </w:rPr>
        <w:lastRenderedPageBreak/>
        <w:t xml:space="preserve">ecurrence is more easily salvaged with SBRT. </w:t>
      </w:r>
      <w:r>
        <w:rPr>
          <w:rFonts w:ascii="Palatino-Bold" w:eastAsia="Palatino-Bold" w:cs="Palatino-Bold"/>
          <w:b/>
          <w:bCs/>
          <w:kern w:val="0"/>
          <w:sz w:val="18"/>
          <w:szCs w:val="18"/>
        </w:rPr>
        <w:t>Conclusion: Pts with medically inoperable NSCLC treated with SBRT had</w:t>
      </w:r>
    </w:p>
    <w:p w:rsidR="00E1460D" w:rsidRDefault="00E1460D" w:rsidP="00E1460D">
      <w:pPr>
        <w:autoSpaceDE w:val="0"/>
        <w:autoSpaceDN w:val="0"/>
        <w:adjustRightInd w:val="0"/>
        <w:rPr>
          <w:rFonts w:ascii="Palatino-Bold" w:eastAsia="Palatino-Bold" w:cs="Palatino-Bold"/>
          <w:b/>
          <w:bCs/>
          <w:kern w:val="0"/>
          <w:sz w:val="18"/>
          <w:szCs w:val="18"/>
        </w:rPr>
      </w:pPr>
      <w:r>
        <w:rPr>
          <w:rFonts w:ascii="Palatino-Bold" w:eastAsia="Palatino-Bold" w:cs="Palatino-Bold"/>
          <w:b/>
          <w:bCs/>
          <w:kern w:val="0"/>
          <w:sz w:val="18"/>
          <w:szCs w:val="18"/>
        </w:rPr>
        <w:t>modest survival, high rates of local tumor control, and moderate treatment-related morbidity. Longer-term follow-up has shown increased lobar and regional failures.</w:t>
      </w:r>
    </w:p>
    <w:p w:rsidR="00E1460D" w:rsidRDefault="00E1460D" w:rsidP="00E1460D">
      <w:pPr>
        <w:autoSpaceDE w:val="0"/>
        <w:autoSpaceDN w:val="0"/>
        <w:adjustRightInd w:val="0"/>
        <w:rPr>
          <w:rFonts w:ascii="Palatino-Bold" w:eastAsia="Palatino-Bold" w:cs="Palatino-Bold"/>
          <w:b/>
          <w:bCs/>
          <w:kern w:val="0"/>
          <w:sz w:val="18"/>
          <w:szCs w:val="18"/>
        </w:rPr>
      </w:pPr>
    </w:p>
    <w:p w:rsidR="00E1460D" w:rsidRDefault="00E1460D" w:rsidP="00E1460D">
      <w:pPr>
        <w:autoSpaceDE w:val="0"/>
        <w:autoSpaceDN w:val="0"/>
        <w:adjustRightInd w:val="0"/>
        <w:rPr>
          <w:rFonts w:ascii="WgspvqFsxpfkNewAster" w:eastAsia="WgspvqFsxpfkNewAster" w:cs="WgspvqFsxpfkNewAster"/>
          <w:color w:val="000000"/>
          <w:kern w:val="0"/>
          <w:sz w:val="18"/>
          <w:szCs w:val="18"/>
        </w:rPr>
      </w:pPr>
      <w:r w:rsidRPr="00E1460D">
        <w:rPr>
          <w:rFonts w:ascii="WgspvqFsxpfkNewAster" w:eastAsia="WgspvqFsxpfkNewAster" w:cs="WgspvqFsxpfkNewAster"/>
          <w:color w:val="000000"/>
          <w:kern w:val="0"/>
          <w:sz w:val="18"/>
          <w:szCs w:val="18"/>
          <w:highlight w:val="yellow"/>
        </w:rPr>
        <w:t>RTOG 0236</w:t>
      </w:r>
      <w:r>
        <w:rPr>
          <w:rFonts w:ascii="WgspvqFsxpfkNewAster" w:eastAsia="WgspvqFsxpfkNewAster" w:cs="WgspvqFsxpfkNewAster"/>
          <w:color w:val="000000"/>
          <w:kern w:val="0"/>
          <w:sz w:val="18"/>
          <w:szCs w:val="18"/>
        </w:rPr>
        <w:t xml:space="preserve"> (Timmerman </w:t>
      </w:r>
      <w:r>
        <w:rPr>
          <w:rFonts w:ascii="WgspvqFsxpfkNewAster" w:eastAsia="WgspvqFsxpfkNewAster" w:cs="WgspvqFsxpfkNewAster"/>
          <w:color w:val="0000FB"/>
          <w:kern w:val="0"/>
          <w:sz w:val="18"/>
          <w:szCs w:val="18"/>
        </w:rPr>
        <w:t>2010</w:t>
      </w:r>
      <w:r>
        <w:rPr>
          <w:rFonts w:ascii="WgspvqFsxpfkNewAster" w:eastAsia="WgspvqFsxpfkNewAster" w:cs="WgspvqFsxpfkNewAster"/>
          <w:color w:val="000000"/>
          <w:kern w:val="0"/>
          <w:sz w:val="18"/>
          <w:szCs w:val="18"/>
        </w:rPr>
        <w:t>): Phase II study of patients with T1</w:t>
      </w:r>
      <w:r>
        <w:rPr>
          <w:rFonts w:ascii="WgspvqFsxpfkNewAster" w:eastAsia="WgspvqFsxpfkNewAster" w:cs="WgspvqFsxpfkNewAster" w:hint="eastAsia"/>
          <w:color w:val="000000"/>
          <w:kern w:val="0"/>
          <w:sz w:val="18"/>
          <w:szCs w:val="18"/>
        </w:rPr>
        <w:t>–</w:t>
      </w:r>
      <w:r>
        <w:rPr>
          <w:rFonts w:ascii="WgspvqFsxpfkNewAster" w:eastAsia="WgspvqFsxpfkNewAster" w:cs="WgspvqFsxpfkNewAster"/>
          <w:color w:val="000000"/>
          <w:kern w:val="0"/>
          <w:sz w:val="18"/>
          <w:szCs w:val="18"/>
        </w:rPr>
        <w:t>3N0 (</w:t>
      </w:r>
      <w:r>
        <w:rPr>
          <w:rFonts w:ascii="Times New Roman" w:eastAsia="PnrrypFwdygnSTIXGeneral-Regular" w:hAnsi="Times New Roman" w:cs="Times New Roman"/>
          <w:color w:val="000000"/>
          <w:kern w:val="0"/>
          <w:sz w:val="18"/>
          <w:szCs w:val="18"/>
        </w:rPr>
        <w:t>≤</w:t>
      </w:r>
      <w:r>
        <w:rPr>
          <w:rFonts w:ascii="WgspvqFsxpfkNewAster" w:eastAsia="WgspvqFsxpfkNewAster" w:cs="WgspvqFsxpfkNewAster"/>
          <w:color w:val="000000"/>
          <w:kern w:val="0"/>
          <w:sz w:val="18"/>
          <w:szCs w:val="18"/>
        </w:rPr>
        <w:t xml:space="preserve">5 cm) medically inoperable tumors &gt;2 cm from proximal bronchial tree treated with SBRT 20 Gy </w:t>
      </w:r>
      <w:r>
        <w:rPr>
          <w:rFonts w:ascii="WgspvqFsxpfkNewAster" w:eastAsia="WgspvqFsxpfkNewAster" w:cs="WgspvqFsxpfkNewAster" w:hint="eastAsia"/>
          <w:color w:val="000000"/>
          <w:kern w:val="0"/>
          <w:sz w:val="18"/>
          <w:szCs w:val="18"/>
        </w:rPr>
        <w:t>×</w:t>
      </w:r>
      <w:r>
        <w:rPr>
          <w:rFonts w:ascii="WgspvqFsxpfkNewAster" w:eastAsia="WgspvqFsxpfkNewAster" w:cs="WgspvqFsxpfkNewAster"/>
          <w:color w:val="000000"/>
          <w:kern w:val="0"/>
          <w:sz w:val="18"/>
          <w:szCs w:val="18"/>
        </w:rPr>
        <w:t xml:space="preserve"> 3 over 1.5</w:t>
      </w:r>
      <w:r>
        <w:rPr>
          <w:rFonts w:ascii="WgspvqFsxpfkNewAster" w:eastAsia="WgspvqFsxpfkNewAster" w:cs="WgspvqFsxpfkNewAster" w:hint="eastAsia"/>
          <w:color w:val="000000"/>
          <w:kern w:val="0"/>
          <w:sz w:val="18"/>
          <w:szCs w:val="18"/>
        </w:rPr>
        <w:t>–</w:t>
      </w:r>
      <w:r>
        <w:rPr>
          <w:rFonts w:ascii="WgspvqFsxpfkNewAster" w:eastAsia="WgspvqFsxpfkNewAster" w:cs="WgspvqFsxpfkNewAster"/>
          <w:color w:val="000000"/>
          <w:kern w:val="0"/>
          <w:sz w:val="18"/>
          <w:szCs w:val="18"/>
        </w:rPr>
        <w:t>2 weeks (54 Gy applying heterogeneity correction). GTV = CTV. PTV = 0.5 cm axial margin and 1 cm superior/inferior margin. 5-year LC 93%, LRC 62%, 31% DM, DFS 26%, OS 40%.</w:t>
      </w:r>
    </w:p>
    <w:p w:rsidR="00E1460D" w:rsidRDefault="00E1460D" w:rsidP="00E1460D">
      <w:pPr>
        <w:autoSpaceDE w:val="0"/>
        <w:autoSpaceDN w:val="0"/>
        <w:adjustRightInd w:val="0"/>
        <w:rPr>
          <w:rFonts w:ascii="WgspvqFsxpfkNewAster" w:eastAsia="WgspvqFsxpfkNewAster" w:cs="WgspvqFsxpfkNewAster"/>
          <w:color w:val="000000"/>
          <w:kern w:val="0"/>
          <w:sz w:val="18"/>
          <w:szCs w:val="18"/>
        </w:rPr>
      </w:pPr>
    </w:p>
    <w:p w:rsidR="00E1460D" w:rsidRDefault="00E1460D" w:rsidP="00E1460D">
      <w:pPr>
        <w:autoSpaceDE w:val="0"/>
        <w:autoSpaceDN w:val="0"/>
        <w:adjustRightInd w:val="0"/>
        <w:rPr>
          <w:rFonts w:ascii="WgspvqFsxpfkNewAster" w:eastAsia="WgspvqFsxpfkNewAster" w:cs="WgspvqFsxpfkNewAster"/>
          <w:color w:val="000000"/>
          <w:kern w:val="0"/>
          <w:sz w:val="18"/>
          <w:szCs w:val="18"/>
        </w:rPr>
      </w:pPr>
      <w:r>
        <w:rPr>
          <w:rFonts w:ascii="WgspvqFsxpfkNewAster" w:eastAsia="WgspvqFsxpfkNewAster" w:cs="WgspvqFsxpfkNewAster"/>
          <w:color w:val="000000"/>
          <w:kern w:val="0"/>
          <w:sz w:val="18"/>
          <w:szCs w:val="18"/>
        </w:rPr>
        <w:t>Intergroup/</w:t>
      </w:r>
      <w:r w:rsidRPr="00E1460D">
        <w:rPr>
          <w:rFonts w:ascii="WgspvqFsxpfkNewAster" w:eastAsia="WgspvqFsxpfkNewAster" w:cs="WgspvqFsxpfkNewAster"/>
          <w:color w:val="000000"/>
          <w:kern w:val="0"/>
          <w:sz w:val="18"/>
          <w:szCs w:val="18"/>
          <w:highlight w:val="yellow"/>
        </w:rPr>
        <w:t>RTOG 0139</w:t>
      </w:r>
      <w:r>
        <w:rPr>
          <w:rFonts w:ascii="WgspvqFsxpfkNewAster" w:eastAsia="WgspvqFsxpfkNewAster" w:cs="WgspvqFsxpfkNewAster"/>
          <w:color w:val="000000"/>
          <w:kern w:val="0"/>
          <w:sz w:val="18"/>
          <w:szCs w:val="18"/>
        </w:rPr>
        <w:t xml:space="preserve"> (Albain, Lancet </w:t>
      </w:r>
      <w:r>
        <w:rPr>
          <w:rFonts w:ascii="WgspvqFsxpfkNewAster" w:eastAsia="WgspvqFsxpfkNewAster" w:cs="WgspvqFsxpfkNewAster"/>
          <w:color w:val="0000FB"/>
          <w:kern w:val="0"/>
          <w:sz w:val="18"/>
          <w:szCs w:val="18"/>
        </w:rPr>
        <w:t>2009</w:t>
      </w:r>
      <w:r>
        <w:rPr>
          <w:rFonts w:ascii="WgspvqFsxpfkNewAster" w:eastAsia="WgspvqFsxpfkNewAster" w:cs="WgspvqFsxpfkNewAster"/>
          <w:color w:val="000000"/>
          <w:kern w:val="0"/>
          <w:sz w:val="18"/>
          <w:szCs w:val="18"/>
        </w:rPr>
        <w:t>): 396 patients with T1</w:t>
      </w:r>
      <w:r>
        <w:rPr>
          <w:rFonts w:ascii="WgspvqFsxpfkNewAster" w:eastAsia="WgspvqFsxpfkNewAster" w:cs="WgspvqFsxpfkNewAster" w:hint="eastAsia"/>
          <w:color w:val="000000"/>
          <w:kern w:val="0"/>
          <w:sz w:val="18"/>
          <w:szCs w:val="18"/>
        </w:rPr>
        <w:t>–</w:t>
      </w:r>
      <w:r>
        <w:rPr>
          <w:rFonts w:ascii="WgspvqFsxpfkNewAster" w:eastAsia="WgspvqFsxpfkNewAster" w:cs="WgspvqFsxpfkNewAster"/>
          <w:color w:val="000000"/>
          <w:kern w:val="0"/>
          <w:sz w:val="18"/>
          <w:szCs w:val="18"/>
        </w:rPr>
        <w:t xml:space="preserve">3pN2M0 treated with concurrent chemo </w:t>
      </w:r>
      <w:r>
        <w:rPr>
          <w:rFonts w:ascii="WgspvqFsxpfkNewAster" w:eastAsia="WgspvqFsxpfkNewAster" w:cs="WgspvqFsxpfkNewAster" w:hint="eastAsia"/>
          <w:color w:val="000000"/>
          <w:kern w:val="0"/>
          <w:sz w:val="18"/>
          <w:szCs w:val="18"/>
        </w:rPr>
        <w:t xml:space="preserve">× </w:t>
      </w:r>
      <w:r>
        <w:rPr>
          <w:rFonts w:ascii="WgspvqFsxpfkNewAster" w:eastAsia="WgspvqFsxpfkNewAster" w:cs="WgspvqFsxpfkNewAster"/>
          <w:color w:val="000000"/>
          <w:kern w:val="0"/>
          <w:sz w:val="18"/>
          <w:szCs w:val="18"/>
        </w:rPr>
        <w:t xml:space="preserve">2c + 45 Gy </w:t>
      </w:r>
      <w:r>
        <w:rPr>
          <w:rFonts w:ascii="PnrrypFwdygnSTIXGeneral-Regular" w:eastAsia="PnrrypFwdygnSTIXGeneral-Regular" w:cs="PnrrypFwdygnSTIXGeneral-Regular" w:hint="eastAsia"/>
          <w:color w:val="000000"/>
          <w:kern w:val="0"/>
          <w:sz w:val="18"/>
          <w:szCs w:val="18"/>
        </w:rPr>
        <w:t>→</w:t>
      </w:r>
      <w:r>
        <w:rPr>
          <w:rFonts w:ascii="PnrrypFwdygnSTIXGeneral-Regular" w:eastAsia="PnrrypFwdygnSTIXGeneral-Regular" w:cs="PnrrypFwdygnSTIXGeneral-Regular"/>
          <w:color w:val="000000"/>
          <w:kern w:val="0"/>
          <w:sz w:val="18"/>
          <w:szCs w:val="18"/>
        </w:rPr>
        <w:t xml:space="preserve"> </w:t>
      </w:r>
      <w:r>
        <w:rPr>
          <w:rFonts w:ascii="WgspvqFsxpfkNewAster" w:eastAsia="WgspvqFsxpfkNewAster" w:cs="WgspvqFsxpfkNewAster"/>
          <w:color w:val="000000"/>
          <w:kern w:val="0"/>
          <w:sz w:val="18"/>
          <w:szCs w:val="18"/>
        </w:rPr>
        <w:t xml:space="preserve">restaging </w:t>
      </w:r>
      <w:r>
        <w:rPr>
          <w:rFonts w:ascii="PnrrypFwdygnSTIXGeneral-Regular" w:eastAsia="PnrrypFwdygnSTIXGeneral-Regular" w:cs="PnrrypFwdygnSTIXGeneral-Regular" w:hint="eastAsia"/>
          <w:color w:val="000000"/>
          <w:kern w:val="0"/>
          <w:sz w:val="18"/>
          <w:szCs w:val="18"/>
        </w:rPr>
        <w:t>→</w:t>
      </w:r>
      <w:r>
        <w:rPr>
          <w:rFonts w:ascii="PnrrypFwdygnSTIXGeneral-Regular" w:eastAsia="PnrrypFwdygnSTIXGeneral-Regular" w:cs="PnrrypFwdygnSTIXGeneral-Regular"/>
          <w:color w:val="000000"/>
          <w:kern w:val="0"/>
          <w:sz w:val="18"/>
          <w:szCs w:val="18"/>
        </w:rPr>
        <w:t xml:space="preserve"> </w:t>
      </w:r>
      <w:r>
        <w:rPr>
          <w:rFonts w:ascii="WgspvqFsxpfkNewAster" w:eastAsia="WgspvqFsxpfkNewAster" w:cs="WgspvqFsxpfkNewAster"/>
          <w:color w:val="000000"/>
          <w:kern w:val="0"/>
          <w:sz w:val="18"/>
          <w:szCs w:val="18"/>
        </w:rPr>
        <w:t xml:space="preserve">randomized to [surgery (if no progression) </w:t>
      </w:r>
      <w:r>
        <w:rPr>
          <w:rFonts w:ascii="PnrrypFwdygnSTIXGeneral-Regular" w:eastAsia="PnrrypFwdygnSTIXGeneral-Regular" w:cs="PnrrypFwdygnSTIXGeneral-Regular" w:hint="eastAsia"/>
          <w:color w:val="000000"/>
          <w:kern w:val="0"/>
          <w:sz w:val="18"/>
          <w:szCs w:val="18"/>
        </w:rPr>
        <w:t>→</w:t>
      </w:r>
      <w:r>
        <w:rPr>
          <w:rFonts w:ascii="PnrrypFwdygnSTIXGeneral-Regular" w:eastAsia="PnrrypFwdygnSTIXGeneral-Regular" w:cs="PnrrypFwdygnSTIXGeneral-Regular"/>
          <w:color w:val="000000"/>
          <w:kern w:val="0"/>
          <w:sz w:val="18"/>
          <w:szCs w:val="18"/>
        </w:rPr>
        <w:t xml:space="preserve"> </w:t>
      </w:r>
      <w:r>
        <w:rPr>
          <w:rFonts w:ascii="WgspvqFsxpfkNewAster" w:eastAsia="WgspvqFsxpfkNewAster" w:cs="WgspvqFsxpfkNewAster"/>
          <w:color w:val="000000"/>
          <w:kern w:val="0"/>
          <w:sz w:val="18"/>
          <w:szCs w:val="18"/>
        </w:rPr>
        <w:t xml:space="preserve">chemo </w:t>
      </w:r>
      <w:r>
        <w:rPr>
          <w:rFonts w:ascii="WgspvqFsxpfkNewAster" w:eastAsia="WgspvqFsxpfkNewAster" w:cs="WgspvqFsxpfkNewAster" w:hint="eastAsia"/>
          <w:color w:val="000000"/>
          <w:kern w:val="0"/>
          <w:sz w:val="18"/>
          <w:szCs w:val="18"/>
        </w:rPr>
        <w:t>×</w:t>
      </w:r>
      <w:r>
        <w:rPr>
          <w:rFonts w:ascii="WgspvqFsxpfkNewAster" w:eastAsia="WgspvqFsxpfkNewAster" w:cs="WgspvqFsxpfkNewAster"/>
          <w:color w:val="000000"/>
          <w:kern w:val="0"/>
          <w:sz w:val="18"/>
          <w:szCs w:val="18"/>
        </w:rPr>
        <w:t xml:space="preserve"> 2c] vs [concurrent chemo-RT to 61 Gy (no surgery)) </w:t>
      </w:r>
      <w:r>
        <w:rPr>
          <w:rFonts w:ascii="PnrrypFwdygnSTIXGeneral-Regular" w:eastAsia="PnrrypFwdygnSTIXGeneral-Regular" w:cs="PnrrypFwdygnSTIXGeneral-Regular" w:hint="eastAsia"/>
          <w:color w:val="000000"/>
          <w:kern w:val="0"/>
          <w:sz w:val="18"/>
          <w:szCs w:val="18"/>
        </w:rPr>
        <w:t>→</w:t>
      </w:r>
      <w:r>
        <w:rPr>
          <w:rFonts w:ascii="PnrrypFwdygnSTIXGeneral-Regular" w:eastAsia="PnrrypFwdygnSTIXGeneral-Regular" w:cs="PnrrypFwdygnSTIXGeneral-Regular"/>
          <w:color w:val="000000"/>
          <w:kern w:val="0"/>
          <w:sz w:val="18"/>
          <w:szCs w:val="18"/>
        </w:rPr>
        <w:t xml:space="preserve"> </w:t>
      </w:r>
      <w:r>
        <w:rPr>
          <w:rFonts w:ascii="WgspvqFsxpfkNewAster" w:eastAsia="WgspvqFsxpfkNewAster" w:cs="WgspvqFsxpfkNewAster"/>
          <w:color w:val="000000"/>
          <w:kern w:val="0"/>
          <w:sz w:val="18"/>
          <w:szCs w:val="18"/>
        </w:rPr>
        <w:t xml:space="preserve">chemo </w:t>
      </w:r>
      <w:r>
        <w:rPr>
          <w:rFonts w:ascii="WgspvqFsxpfkNewAster" w:eastAsia="WgspvqFsxpfkNewAster" w:cs="WgspvqFsxpfkNewAster" w:hint="eastAsia"/>
          <w:color w:val="000000"/>
          <w:kern w:val="0"/>
          <w:sz w:val="18"/>
          <w:szCs w:val="18"/>
        </w:rPr>
        <w:t>×</w:t>
      </w:r>
      <w:r>
        <w:rPr>
          <w:rFonts w:ascii="WgspvqFsxpfkNewAster" w:eastAsia="WgspvqFsxpfkNewAster" w:cs="WgspvqFsxpfkNewAster"/>
          <w:color w:val="000000"/>
          <w:kern w:val="0"/>
          <w:sz w:val="18"/>
          <w:szCs w:val="18"/>
        </w:rPr>
        <w:t xml:space="preserve"> 2c]. Chemo was cisplatinum and etoposide. Surgery improved 5-year PFS (11% </w:t>
      </w:r>
      <w:r>
        <w:rPr>
          <w:rFonts w:ascii="PnrrypFwdygnSTIXGeneral-Regular" w:eastAsia="PnrrypFwdygnSTIXGeneral-Regular" w:cs="PnrrypFwdygnSTIXGeneral-Regular" w:hint="eastAsia"/>
          <w:color w:val="000000"/>
          <w:kern w:val="0"/>
          <w:sz w:val="18"/>
          <w:szCs w:val="18"/>
        </w:rPr>
        <w:t>→</w:t>
      </w:r>
      <w:r>
        <w:rPr>
          <w:rFonts w:ascii="PnrrypFwdygnSTIXGeneral-Regular" w:eastAsia="PnrrypFwdygnSTIXGeneral-Regular" w:cs="PnrrypFwdygnSTIXGeneral-Regular"/>
          <w:color w:val="000000"/>
          <w:kern w:val="0"/>
          <w:sz w:val="18"/>
          <w:szCs w:val="18"/>
        </w:rPr>
        <w:t xml:space="preserve"> </w:t>
      </w:r>
      <w:r>
        <w:rPr>
          <w:rFonts w:ascii="WgspvqFsxpfkNewAster" w:eastAsia="WgspvqFsxpfkNewAster" w:cs="WgspvqFsxpfkNewAster"/>
          <w:color w:val="000000"/>
          <w:kern w:val="0"/>
          <w:sz w:val="18"/>
          <w:szCs w:val="18"/>
        </w:rPr>
        <w:t xml:space="preserve">22%) and median PFS (10.5 </w:t>
      </w:r>
      <w:r>
        <w:rPr>
          <w:rFonts w:ascii="PnrrypFwdygnSTIXGeneral-Regular" w:eastAsia="PnrrypFwdygnSTIXGeneral-Regular" w:cs="PnrrypFwdygnSTIXGeneral-Regular" w:hint="eastAsia"/>
          <w:color w:val="000000"/>
          <w:kern w:val="0"/>
          <w:sz w:val="18"/>
          <w:szCs w:val="18"/>
        </w:rPr>
        <w:t>→</w:t>
      </w:r>
      <w:r>
        <w:rPr>
          <w:rFonts w:ascii="PnrrypFwdygnSTIXGeneral-Regular" w:eastAsia="PnrrypFwdygnSTIXGeneral-Regular" w:cs="PnrrypFwdygnSTIXGeneral-Regular"/>
          <w:color w:val="000000"/>
          <w:kern w:val="0"/>
          <w:sz w:val="18"/>
          <w:szCs w:val="18"/>
        </w:rPr>
        <w:t xml:space="preserve"> </w:t>
      </w:r>
      <w:r>
        <w:rPr>
          <w:rFonts w:ascii="WgspvqFsxpfkNewAster" w:eastAsia="WgspvqFsxpfkNewAster" w:cs="WgspvqFsxpfkNewAster"/>
          <w:color w:val="000000"/>
          <w:kern w:val="0"/>
          <w:sz w:val="18"/>
          <w:szCs w:val="18"/>
        </w:rPr>
        <w:t xml:space="preserve">12.8 months) with fewer local-only relapses (10% vs 22%). There was no significant difference in MS (23.6 vs 22.2 months, </w:t>
      </w:r>
      <w:r>
        <w:rPr>
          <w:rFonts w:ascii="SjyjrhWbllsbNewAster-Italic" w:eastAsia="SjyjrhWbllsbNewAster-Italic" w:cs="SjyjrhWbllsbNewAster-Italic"/>
          <w:i/>
          <w:iCs/>
          <w:color w:val="000000"/>
          <w:kern w:val="0"/>
          <w:sz w:val="18"/>
          <w:szCs w:val="18"/>
        </w:rPr>
        <w:t xml:space="preserve">p </w:t>
      </w:r>
      <w:r>
        <w:rPr>
          <w:rFonts w:ascii="WgspvqFsxpfkNewAster" w:eastAsia="WgspvqFsxpfkNewAster" w:cs="WgspvqFsxpfkNewAster"/>
          <w:color w:val="000000"/>
          <w:kern w:val="0"/>
          <w:sz w:val="18"/>
          <w:szCs w:val="18"/>
        </w:rPr>
        <w:t xml:space="preserve">= 0.24), although there was a 5-year OS trend in favor of surgery (20% vs 27%, </w:t>
      </w:r>
      <w:r>
        <w:rPr>
          <w:rFonts w:ascii="SjyjrhWbllsbNewAster-Italic" w:eastAsia="SjyjrhWbllsbNewAster-Italic" w:cs="SjyjrhWbllsbNewAster-Italic"/>
          <w:i/>
          <w:iCs/>
          <w:color w:val="000000"/>
          <w:kern w:val="0"/>
          <w:sz w:val="18"/>
          <w:szCs w:val="18"/>
        </w:rPr>
        <w:t xml:space="preserve">p </w:t>
      </w:r>
      <w:r>
        <w:rPr>
          <w:rFonts w:ascii="WgspvqFsxpfkNewAster" w:eastAsia="WgspvqFsxpfkNewAster" w:cs="WgspvqFsxpfkNewAster"/>
          <w:color w:val="000000"/>
          <w:kern w:val="0"/>
          <w:sz w:val="18"/>
          <w:szCs w:val="18"/>
        </w:rPr>
        <w:t xml:space="preserve">= 0.1). Increased treatment-related deaths with surgery (8% vs 2%), particularly when pneumonectomy required. 14% pCR rate, with 42% 5-year OS if pCR. In unplanned exploratory subgroup analysis, MS was improved for pts undergoing lobectomy compared to matched cohort undergoing nonoperative treatment (MS 22 </w:t>
      </w:r>
      <w:r>
        <w:rPr>
          <w:rFonts w:ascii="PnrrypFwdygnSTIXGeneral-Regular" w:eastAsia="PnrrypFwdygnSTIXGeneral-Regular" w:cs="PnrrypFwdygnSTIXGeneral-Regular" w:hint="eastAsia"/>
          <w:color w:val="000000"/>
          <w:kern w:val="0"/>
          <w:sz w:val="18"/>
          <w:szCs w:val="18"/>
        </w:rPr>
        <w:t>→</w:t>
      </w:r>
      <w:r>
        <w:rPr>
          <w:rFonts w:ascii="PnrrypFwdygnSTIXGeneral-Regular" w:eastAsia="PnrrypFwdygnSTIXGeneral-Regular" w:cs="PnrrypFwdygnSTIXGeneral-Regular"/>
          <w:color w:val="000000"/>
          <w:kern w:val="0"/>
          <w:sz w:val="18"/>
          <w:szCs w:val="18"/>
        </w:rPr>
        <w:t xml:space="preserve"> </w:t>
      </w:r>
      <w:r>
        <w:rPr>
          <w:rFonts w:ascii="WgspvqFsxpfkNewAster" w:eastAsia="WgspvqFsxpfkNewAster" w:cs="WgspvqFsxpfkNewAster"/>
          <w:color w:val="000000"/>
          <w:kern w:val="0"/>
          <w:sz w:val="18"/>
          <w:szCs w:val="18"/>
        </w:rPr>
        <w:t>33 months).</w:t>
      </w:r>
    </w:p>
    <w:p w:rsidR="00E1460D" w:rsidRDefault="00E1460D" w:rsidP="00E1460D">
      <w:pPr>
        <w:autoSpaceDE w:val="0"/>
        <w:autoSpaceDN w:val="0"/>
        <w:adjustRightInd w:val="0"/>
        <w:rPr>
          <w:rFonts w:ascii="WgspvqFsxpfkNewAster" w:eastAsia="WgspvqFsxpfkNewAster" w:cs="WgspvqFsxpfkNewAster"/>
          <w:color w:val="000000"/>
          <w:kern w:val="0"/>
          <w:sz w:val="18"/>
          <w:szCs w:val="18"/>
        </w:rPr>
      </w:pPr>
    </w:p>
    <w:p w:rsidR="00E1460D" w:rsidRDefault="00E1460D" w:rsidP="00E1460D">
      <w:pPr>
        <w:autoSpaceDE w:val="0"/>
        <w:autoSpaceDN w:val="0"/>
        <w:adjustRightInd w:val="0"/>
        <w:rPr>
          <w:rFonts w:ascii="Palatino-Bold" w:eastAsia="Palatino-Bold" w:cs="Palatino-Bold"/>
          <w:b/>
          <w:bCs/>
          <w:kern w:val="0"/>
          <w:sz w:val="18"/>
          <w:szCs w:val="18"/>
        </w:rPr>
      </w:pPr>
      <w:r>
        <w:rPr>
          <w:rFonts w:ascii="Palatino-Bold" w:eastAsia="Palatino-Bold" w:cs="Palatino-Bold"/>
          <w:b/>
          <w:bCs/>
          <w:kern w:val="0"/>
          <w:sz w:val="18"/>
          <w:szCs w:val="18"/>
        </w:rPr>
        <w:t>Does trimodality therapy improve survival compared to chemoRT for pts with N2 disease?</w:t>
      </w:r>
    </w:p>
    <w:p w:rsidR="00E1460D" w:rsidRDefault="00E1460D" w:rsidP="00E1460D">
      <w:pPr>
        <w:autoSpaceDE w:val="0"/>
        <w:autoSpaceDN w:val="0"/>
        <w:adjustRightInd w:val="0"/>
        <w:rPr>
          <w:rFonts w:ascii="Palatino-Italic" w:eastAsia="Palatino-Italic" w:cs="Palatino-Italic"/>
          <w:i/>
          <w:iCs/>
          <w:kern w:val="0"/>
          <w:sz w:val="18"/>
          <w:szCs w:val="18"/>
        </w:rPr>
      </w:pPr>
      <w:r>
        <w:rPr>
          <w:rFonts w:ascii="Palatino-Italic" w:eastAsia="Palatino-Italic" w:cs="Palatino-Italic"/>
          <w:i/>
          <w:iCs/>
          <w:kern w:val="0"/>
          <w:sz w:val="18"/>
          <w:szCs w:val="18"/>
        </w:rPr>
        <w:t xml:space="preserve">If each modality alone improves outcomes, perhaps a combination of all three may give best outcomes. </w:t>
      </w:r>
      <w:r w:rsidRPr="00E1460D">
        <w:rPr>
          <w:rFonts w:ascii="Palatino-Italic" w:eastAsia="Palatino-Italic" w:cs="Palatino-Italic"/>
          <w:i/>
          <w:iCs/>
          <w:kern w:val="0"/>
          <w:sz w:val="18"/>
          <w:szCs w:val="18"/>
          <w:highlight w:val="yellow"/>
        </w:rPr>
        <w:t>INT 0139 (Albain)</w:t>
      </w:r>
      <w:r>
        <w:rPr>
          <w:rFonts w:ascii="Palatino-Italic" w:eastAsia="Palatino-Italic" w:cs="Palatino-Italic"/>
          <w:i/>
          <w:iCs/>
          <w:kern w:val="0"/>
          <w:sz w:val="18"/>
          <w:szCs w:val="18"/>
        </w:rPr>
        <w:t xml:space="preserve"> did not show this overall, but trimodality may still be treatment of choice for select pts (controversial).</w:t>
      </w:r>
    </w:p>
    <w:p w:rsidR="00E1460D" w:rsidRDefault="00E1460D" w:rsidP="00E1460D">
      <w:pPr>
        <w:autoSpaceDE w:val="0"/>
        <w:autoSpaceDN w:val="0"/>
        <w:adjustRightInd w:val="0"/>
        <w:rPr>
          <w:rFonts w:ascii="Palatino-Italic" w:eastAsia="Palatino-Italic" w:cs="Palatino-Italic"/>
          <w:i/>
          <w:iCs/>
          <w:kern w:val="0"/>
          <w:sz w:val="18"/>
          <w:szCs w:val="18"/>
        </w:rPr>
      </w:pPr>
      <w:r>
        <w:rPr>
          <w:rFonts w:ascii="Palatino-Bold" w:eastAsia="Palatino-Bold" w:cs="Palatino-Bold"/>
          <w:b/>
          <w:bCs/>
          <w:kern w:val="0"/>
          <w:sz w:val="18"/>
          <w:szCs w:val="18"/>
        </w:rPr>
        <w:t xml:space="preserve">Albain, </w:t>
      </w:r>
      <w:r w:rsidRPr="00E1460D">
        <w:rPr>
          <w:rFonts w:ascii="Palatino-Bold" w:eastAsia="Palatino-Bold" w:cs="Palatino-Bold"/>
          <w:b/>
          <w:bCs/>
          <w:kern w:val="0"/>
          <w:sz w:val="18"/>
          <w:szCs w:val="18"/>
          <w:highlight w:val="yellow"/>
        </w:rPr>
        <w:t>Intergroup 0139</w:t>
      </w:r>
      <w:r>
        <w:rPr>
          <w:rFonts w:ascii="Palatino-Bold" w:eastAsia="Palatino-Bold" w:cs="Palatino-Bold"/>
          <w:b/>
          <w:bCs/>
          <w:kern w:val="0"/>
          <w:sz w:val="18"/>
          <w:szCs w:val="18"/>
        </w:rPr>
        <w:t xml:space="preserve"> (</w:t>
      </w:r>
      <w:r>
        <w:rPr>
          <w:rFonts w:ascii="Palatino-BoldItalic" w:eastAsia="Palatino-BoldItalic" w:cs="Palatino-BoldItalic"/>
          <w:b/>
          <w:bCs/>
          <w:i/>
          <w:iCs/>
          <w:kern w:val="0"/>
          <w:sz w:val="18"/>
          <w:szCs w:val="18"/>
        </w:rPr>
        <w:t xml:space="preserve">Lancet </w:t>
      </w:r>
      <w:r>
        <w:rPr>
          <w:rFonts w:ascii="Palatino-Bold" w:eastAsia="Palatino-Bold" w:cs="Palatino-Bold"/>
          <w:b/>
          <w:bCs/>
          <w:kern w:val="0"/>
          <w:sz w:val="18"/>
          <w:szCs w:val="18"/>
        </w:rPr>
        <w:t xml:space="preserve">2009, PMID 19632716): </w:t>
      </w:r>
      <w:r>
        <w:rPr>
          <w:rFonts w:ascii="Palatino-Roman" w:eastAsia="Palatino-Roman" w:cs="Palatino-Roman"/>
          <w:kern w:val="0"/>
          <w:sz w:val="18"/>
          <w:szCs w:val="18"/>
        </w:rPr>
        <w:t>PRT of 429 potentially resectable NSCLC pts with biopsy-proven N2 disease randomized to either induction chemoRT followed by surgery 3 to 5 weeks later or to defi nitive chemoRT. Induction therapy for both arms was cisplatin 50 mg/m</w:t>
      </w:r>
      <w:r>
        <w:rPr>
          <w:rFonts w:ascii="Palatino-Roman" w:eastAsia="Palatino-Roman" w:cs="Palatino-Roman"/>
          <w:kern w:val="0"/>
          <w:sz w:val="10"/>
          <w:szCs w:val="10"/>
        </w:rPr>
        <w:t xml:space="preserve">2 </w:t>
      </w:r>
      <w:r>
        <w:rPr>
          <w:rFonts w:ascii="Palatino-Roman" w:eastAsia="Palatino-Roman" w:cs="Palatino-Roman"/>
          <w:kern w:val="0"/>
          <w:sz w:val="18"/>
          <w:szCs w:val="18"/>
        </w:rPr>
        <w:t>and etoposide 50 mg/m</w:t>
      </w:r>
      <w:r>
        <w:rPr>
          <w:rFonts w:ascii="Palatino-Roman" w:eastAsia="Palatino-Roman" w:cs="Palatino-Roman"/>
          <w:kern w:val="0"/>
          <w:sz w:val="10"/>
          <w:szCs w:val="10"/>
        </w:rPr>
        <w:t xml:space="preserve">2 </w:t>
      </w:r>
      <w:r>
        <w:rPr>
          <w:rFonts w:ascii="Palatino-Roman" w:eastAsia="Palatino-Roman" w:cs="Palatino-Roman"/>
          <w:kern w:val="0"/>
          <w:sz w:val="18"/>
          <w:szCs w:val="18"/>
        </w:rPr>
        <w:t xml:space="preserve">for two cycles (weeks 1 and 5) concurrent with 45 Gy/25 fx; those on defi nitive arm continued RT to 61 Gy without interruption (CT and PFTs were performed midtreatment in both arms to assess for progression). Two cycles of consolidation cisplatin/etoposide were given after local therapy. No signifi cant difference in MS between groups (23.6 vs. 22.2 mos), 5-year OS was 27% for surgery and 20% for chemoRT. PFS was improved in surgery arm (median 12.8 vs. 10.5 mos). Treatment-related death rate was 8% for surgery and 2% for chemoRT. Exploratory analysis demonstrated that lobectomy pts showed improved OS compared to chemoRT but pneumonectomy pts did not. </w:t>
      </w:r>
      <w:r>
        <w:rPr>
          <w:rFonts w:ascii="Palatino-Bold" w:eastAsia="Palatino-Bold" w:cs="Palatino-Bold"/>
          <w:b/>
          <w:bCs/>
          <w:kern w:val="0"/>
          <w:sz w:val="18"/>
          <w:szCs w:val="18"/>
        </w:rPr>
        <w:t>Conclusion: No OS difference was demonstrated between approaches, so defi nitive chemoRT often favored although for healthy lobectomy pts, trimodality may be considered</w:t>
      </w:r>
      <w:r>
        <w:rPr>
          <w:rFonts w:ascii="Palatino-Roman" w:eastAsia="Palatino-Roman" w:cs="Palatino-Roman"/>
          <w:kern w:val="0"/>
          <w:sz w:val="18"/>
          <w:szCs w:val="18"/>
        </w:rPr>
        <w:t xml:space="preserve">. </w:t>
      </w:r>
      <w:r>
        <w:rPr>
          <w:rFonts w:ascii="Palatino-Italic" w:eastAsia="Palatino-Italic" w:cs="Palatino-Italic"/>
          <w:i/>
          <w:iCs/>
          <w:kern w:val="0"/>
          <w:sz w:val="18"/>
          <w:szCs w:val="18"/>
        </w:rPr>
        <w:t>Comment:  Pneumonectomy mortality rate was higher than expected at 26%.</w:t>
      </w:r>
    </w:p>
    <w:p w:rsidR="00E1460D" w:rsidRDefault="00E1460D" w:rsidP="00E1460D">
      <w:pPr>
        <w:autoSpaceDE w:val="0"/>
        <w:autoSpaceDN w:val="0"/>
        <w:adjustRightInd w:val="0"/>
        <w:rPr>
          <w:rFonts w:ascii="Palatino-Italic" w:eastAsia="Palatino-Italic" w:cs="Palatino-Italic"/>
          <w:i/>
          <w:iCs/>
          <w:kern w:val="0"/>
          <w:sz w:val="18"/>
          <w:szCs w:val="18"/>
        </w:rPr>
      </w:pPr>
    </w:p>
    <w:p w:rsidR="00E1460D" w:rsidRDefault="00E1460D" w:rsidP="00E1460D">
      <w:pPr>
        <w:autoSpaceDE w:val="0"/>
        <w:autoSpaceDN w:val="0"/>
        <w:adjustRightInd w:val="0"/>
        <w:rPr>
          <w:rFonts w:ascii="WgspvqFsxpfkNewAster" w:eastAsia="WgspvqFsxpfkNewAster" w:cs="WgspvqFsxpfkNewAster"/>
          <w:color w:val="000000"/>
          <w:kern w:val="0"/>
          <w:sz w:val="18"/>
          <w:szCs w:val="18"/>
        </w:rPr>
      </w:pPr>
      <w:r>
        <w:rPr>
          <w:rFonts w:ascii="WgspvqFsxpfkNewAster" w:eastAsia="WgspvqFsxpfkNewAster" w:cs="WgspvqFsxpfkNewAster"/>
          <w:color w:val="000000"/>
          <w:kern w:val="0"/>
          <w:sz w:val="18"/>
          <w:szCs w:val="18"/>
        </w:rPr>
        <w:t>Dose escalation beyond 60 Gy with conventional fractionation has not demonstrated any clinical benefit with concurrent chemo.</w:t>
      </w:r>
    </w:p>
    <w:p w:rsidR="00E1460D" w:rsidRDefault="00E1460D" w:rsidP="00E1460D">
      <w:pPr>
        <w:autoSpaceDE w:val="0"/>
        <w:autoSpaceDN w:val="0"/>
        <w:adjustRightInd w:val="0"/>
        <w:rPr>
          <w:rFonts w:ascii="WgspvqFsxpfkNewAster" w:eastAsia="WgspvqFsxpfkNewAster" w:cs="WgspvqFsxpfkNewAster"/>
          <w:color w:val="000000"/>
          <w:kern w:val="0"/>
          <w:sz w:val="18"/>
          <w:szCs w:val="18"/>
        </w:rPr>
      </w:pPr>
      <w:r>
        <w:rPr>
          <w:rFonts w:ascii="HwvcmgVmxmsqWingdings" w:eastAsia="HwvcmgVmxmsqWingdings" w:cs="HwvcmgVmxmsqWingdings"/>
          <w:color w:val="B3B3B3"/>
          <w:kern w:val="0"/>
          <w:szCs w:val="24"/>
        </w:rPr>
        <w:t>.</w:t>
      </w:r>
      <w:r>
        <w:rPr>
          <w:rFonts w:ascii="PnrrypFwdygnSTIXGeneral-Regular" w:eastAsia="PnrrypFwdygnSTIXGeneral-Regular" w:cs="PnrrypFwdygnSTIXGeneral-Regular"/>
          <w:color w:val="B3B3B3"/>
          <w:kern w:val="0"/>
          <w:szCs w:val="24"/>
        </w:rPr>
        <w:t>.</w:t>
      </w:r>
      <w:r w:rsidRPr="00E1460D">
        <w:rPr>
          <w:rFonts w:ascii="WgspvqFsxpfkNewAster" w:eastAsia="WgspvqFsxpfkNewAster" w:cs="WgspvqFsxpfkNewAster"/>
          <w:color w:val="000000"/>
          <w:kern w:val="0"/>
          <w:sz w:val="18"/>
          <w:szCs w:val="18"/>
          <w:highlight w:val="yellow"/>
        </w:rPr>
        <w:t>RTOG 0617</w:t>
      </w:r>
      <w:r>
        <w:rPr>
          <w:rFonts w:ascii="WgspvqFsxpfkNewAster" w:eastAsia="WgspvqFsxpfkNewAster" w:cs="WgspvqFsxpfkNewAster"/>
          <w:color w:val="000000"/>
          <w:kern w:val="0"/>
          <w:sz w:val="18"/>
          <w:szCs w:val="18"/>
        </w:rPr>
        <w:t xml:space="preserve"> (Bradley, Lancet Oncol </w:t>
      </w:r>
      <w:r>
        <w:rPr>
          <w:rFonts w:ascii="WgspvqFsxpfkNewAster" w:eastAsia="WgspvqFsxpfkNewAster" w:cs="WgspvqFsxpfkNewAster"/>
          <w:color w:val="0000FB"/>
          <w:kern w:val="0"/>
          <w:sz w:val="18"/>
          <w:szCs w:val="18"/>
        </w:rPr>
        <w:t>2015</w:t>
      </w:r>
      <w:r>
        <w:rPr>
          <w:rFonts w:ascii="WgspvqFsxpfkNewAster" w:eastAsia="WgspvqFsxpfkNewAster" w:cs="WgspvqFsxpfkNewAster"/>
          <w:color w:val="000000"/>
          <w:kern w:val="0"/>
          <w:sz w:val="18"/>
          <w:szCs w:val="18"/>
        </w:rPr>
        <w:t>): 544 patients with inoperable IIIA/IIIB treated with concurrent chemo-RT  carboplatin/Taxol underwent 2x2 randomization to 60 vs 74 Gy, and +/</w:t>
      </w:r>
      <w:r>
        <w:rPr>
          <w:rFonts w:ascii="MS Mincho" w:eastAsia="MS Mincho" w:hAnsi="MS Mincho" w:cs="MS Mincho" w:hint="eastAsia"/>
          <w:color w:val="000000"/>
          <w:kern w:val="0"/>
          <w:sz w:val="18"/>
          <w:szCs w:val="18"/>
        </w:rPr>
        <w:t>−</w:t>
      </w:r>
      <w:r>
        <w:rPr>
          <w:rFonts w:ascii="PnrrypFwdygnSTIXGeneral-Regular" w:eastAsia="PnrrypFwdygnSTIXGeneral-Regular" w:cs="PnrrypFwdygnSTIXGeneral-Regular"/>
          <w:color w:val="000000"/>
          <w:kern w:val="0"/>
          <w:sz w:val="18"/>
          <w:szCs w:val="18"/>
        </w:rPr>
        <w:t xml:space="preserve"> </w:t>
      </w:r>
      <w:r>
        <w:rPr>
          <w:rFonts w:ascii="WgspvqFsxpfkNewAster" w:eastAsia="WgspvqFsxpfkNewAster" w:cs="WgspvqFsxpfkNewAster"/>
          <w:color w:val="000000"/>
          <w:kern w:val="0"/>
          <w:sz w:val="18"/>
          <w:szCs w:val="18"/>
        </w:rPr>
        <w:t>weekly cetuximab. All patients received 2 cycles consolidation carboplatin/ Taxol. Trial closed early due to interim analysis showing futility for survival endpoint. 74 Gy arm had</w:t>
      </w:r>
    </w:p>
    <w:p w:rsidR="00E1460D" w:rsidRDefault="00E1460D" w:rsidP="00E1460D">
      <w:pPr>
        <w:autoSpaceDE w:val="0"/>
        <w:autoSpaceDN w:val="0"/>
        <w:adjustRightInd w:val="0"/>
        <w:rPr>
          <w:rFonts w:ascii="WgspvqFsxpfkNewAster" w:eastAsia="WgspvqFsxpfkNewAster" w:cs="WgspvqFsxpfkNewAster"/>
          <w:kern w:val="0"/>
          <w:sz w:val="18"/>
          <w:szCs w:val="18"/>
        </w:rPr>
      </w:pPr>
      <w:r>
        <w:rPr>
          <w:rFonts w:ascii="WgspvqFsxpfkNewAster" w:eastAsia="WgspvqFsxpfkNewAster" w:cs="WgspvqFsxpfkNewAster"/>
          <w:color w:val="000000"/>
          <w:kern w:val="0"/>
          <w:sz w:val="18"/>
          <w:szCs w:val="18"/>
        </w:rPr>
        <w:t xml:space="preserve">decreased MS (20 mo vs 28 mo), nonsignificantly higher local failure (39% vs 31%), and worse grade 3+ esophagitis (43% vs 16%). Cetuximab did not improve OS but had increased toxicity. Reason for survival detriment hotly debated; possible explanations include </w:t>
      </w:r>
      <w:r>
        <w:rPr>
          <w:rFonts w:ascii="WgspvqFsxpfkNewAster" w:eastAsia="WgspvqFsxpfkNewAster" w:cs="WgspvqFsxpfkNewAster"/>
          <w:kern w:val="0"/>
          <w:sz w:val="18"/>
          <w:szCs w:val="18"/>
        </w:rPr>
        <w:t>decreased tumor coverage in 74 Gy arm, low volume centers</w:t>
      </w:r>
      <w:r>
        <w:rPr>
          <w:rFonts w:ascii="WgspvqFsxpfkNewAster" w:eastAsia="WgspvqFsxpfkNewAster" w:cs="WgspvqFsxpfkNewAster" w:hint="eastAsia"/>
          <w:kern w:val="0"/>
          <w:sz w:val="18"/>
          <w:szCs w:val="18"/>
        </w:rPr>
        <w:t>’</w:t>
      </w:r>
      <w:r>
        <w:rPr>
          <w:rFonts w:ascii="WgspvqFsxpfkNewAster" w:eastAsia="WgspvqFsxpfkNewAster" w:cs="WgspvqFsxpfkNewAster"/>
          <w:kern w:val="0"/>
          <w:sz w:val="18"/>
          <w:szCs w:val="18"/>
        </w:rPr>
        <w:t xml:space="preserve"> lack of expertise (Eaton JNCI 2016), increased acute or late toxicity, decreased quality of life in 74 Gy arm. IMRT produced similar local control and 2-year survival but lower rates of severe pneumonitis and cardiac dose (Chun JCO 2017).</w:t>
      </w:r>
    </w:p>
    <w:p w:rsidR="00E1460D" w:rsidRDefault="00E1460D" w:rsidP="00E1460D">
      <w:pPr>
        <w:autoSpaceDE w:val="0"/>
        <w:autoSpaceDN w:val="0"/>
        <w:adjustRightInd w:val="0"/>
        <w:rPr>
          <w:rFonts w:ascii="Palatino-Bold" w:eastAsia="Palatino-Bold" w:cs="Palatino-Bold"/>
          <w:b/>
          <w:bCs/>
          <w:kern w:val="0"/>
          <w:sz w:val="18"/>
          <w:szCs w:val="18"/>
        </w:rPr>
      </w:pPr>
      <w:r>
        <w:rPr>
          <w:rFonts w:ascii="Palatino-Bold" w:eastAsia="Palatino-Bold" w:cs="Palatino-Bold"/>
          <w:b/>
          <w:bCs/>
          <w:kern w:val="0"/>
          <w:sz w:val="18"/>
          <w:szCs w:val="18"/>
        </w:rPr>
        <w:lastRenderedPageBreak/>
        <w:t>Does RT dose escalation improve outcomes when given with concurrent CHT?</w:t>
      </w:r>
    </w:p>
    <w:p w:rsidR="00E1460D" w:rsidRDefault="00E1460D" w:rsidP="00E1460D">
      <w:pPr>
        <w:autoSpaceDE w:val="0"/>
        <w:autoSpaceDN w:val="0"/>
        <w:adjustRightInd w:val="0"/>
        <w:rPr>
          <w:rFonts w:ascii="Palatino-Italic" w:eastAsia="Palatino-Italic" w:cs="Palatino-Italic"/>
          <w:i/>
          <w:iCs/>
          <w:kern w:val="0"/>
          <w:sz w:val="18"/>
          <w:szCs w:val="18"/>
        </w:rPr>
      </w:pPr>
      <w:r>
        <w:rPr>
          <w:rFonts w:ascii="Palatino-Italic" w:eastAsia="Palatino-Italic" w:cs="Palatino-Italic"/>
          <w:i/>
          <w:iCs/>
          <w:kern w:val="0"/>
          <w:sz w:val="18"/>
          <w:szCs w:val="18"/>
        </w:rPr>
        <w:t xml:space="preserve">Dating back to the 1970s, RTOG 7301 demonstrated 60 Gy/30 fx to be standard regimen. RTOG 9311 was phase I/II dose-escalation trial that delivered escalated doses based on achieved V20 with doses ranging from 70.9 Gy to 90.3 Gy without concurrent CHT. This led to </w:t>
      </w:r>
      <w:r w:rsidRPr="001B2E8B">
        <w:rPr>
          <w:rFonts w:ascii="Palatino-Italic" w:eastAsia="Palatino-Italic" w:cs="Palatino-Italic"/>
          <w:i/>
          <w:iCs/>
          <w:kern w:val="0"/>
          <w:sz w:val="18"/>
          <w:szCs w:val="18"/>
          <w:highlight w:val="yellow"/>
        </w:rPr>
        <w:t>RTOG 0617</w:t>
      </w:r>
      <w:r>
        <w:rPr>
          <w:rFonts w:ascii="Palatino-Italic" w:eastAsia="Palatino-Italic" w:cs="Palatino-Italic"/>
          <w:i/>
          <w:iCs/>
          <w:kern w:val="0"/>
          <w:sz w:val="18"/>
          <w:szCs w:val="18"/>
        </w:rPr>
        <w:t xml:space="preserve"> as follows.</w:t>
      </w:r>
    </w:p>
    <w:p w:rsidR="001B2E8B" w:rsidRDefault="001B2E8B" w:rsidP="00E1460D">
      <w:pPr>
        <w:autoSpaceDE w:val="0"/>
        <w:autoSpaceDN w:val="0"/>
        <w:adjustRightInd w:val="0"/>
        <w:rPr>
          <w:rFonts w:ascii="Palatino-Italic" w:eastAsia="Palatino-Italic" w:cs="Palatino-Italic"/>
          <w:i/>
          <w:iCs/>
          <w:kern w:val="0"/>
          <w:sz w:val="18"/>
          <w:szCs w:val="18"/>
        </w:rPr>
      </w:pPr>
    </w:p>
    <w:p w:rsidR="001B2E8B" w:rsidRDefault="001B2E8B" w:rsidP="001B2E8B">
      <w:pPr>
        <w:autoSpaceDE w:val="0"/>
        <w:autoSpaceDN w:val="0"/>
        <w:adjustRightInd w:val="0"/>
        <w:rPr>
          <w:rFonts w:ascii="Palatino-Roman" w:eastAsia="Palatino-Roman" w:cs="Palatino-Roman"/>
          <w:kern w:val="0"/>
          <w:sz w:val="18"/>
          <w:szCs w:val="18"/>
        </w:rPr>
      </w:pPr>
      <w:r>
        <w:rPr>
          <w:rFonts w:ascii="Palatino-Bold" w:eastAsia="Palatino-Bold" w:cs="Palatino-Bold"/>
          <w:b/>
          <w:bCs/>
          <w:kern w:val="0"/>
          <w:sz w:val="18"/>
          <w:szCs w:val="18"/>
        </w:rPr>
        <w:t xml:space="preserve">Bradley, </w:t>
      </w:r>
      <w:r w:rsidRPr="001B2E8B">
        <w:rPr>
          <w:rFonts w:ascii="Palatino-Bold" w:eastAsia="Palatino-Bold" w:cs="Palatino-Bold"/>
          <w:b/>
          <w:bCs/>
          <w:kern w:val="0"/>
          <w:sz w:val="18"/>
          <w:szCs w:val="18"/>
          <w:highlight w:val="yellow"/>
        </w:rPr>
        <w:t>RTOG 0617</w:t>
      </w:r>
      <w:r>
        <w:rPr>
          <w:rFonts w:ascii="Palatino-Bold" w:eastAsia="Palatino-Bold" w:cs="Palatino-Bold"/>
          <w:b/>
          <w:bCs/>
          <w:kern w:val="0"/>
          <w:sz w:val="18"/>
          <w:szCs w:val="18"/>
        </w:rPr>
        <w:t xml:space="preserve"> (</w:t>
      </w:r>
      <w:r>
        <w:rPr>
          <w:rFonts w:ascii="Palatino-BoldItalic" w:eastAsia="Palatino-BoldItalic" w:cs="Palatino-BoldItalic"/>
          <w:b/>
          <w:bCs/>
          <w:i/>
          <w:iCs/>
          <w:kern w:val="0"/>
          <w:sz w:val="18"/>
          <w:szCs w:val="18"/>
        </w:rPr>
        <w:t xml:space="preserve">Lancet Oncol </w:t>
      </w:r>
      <w:r>
        <w:rPr>
          <w:rFonts w:ascii="Palatino-Bold" w:eastAsia="Palatino-Bold" w:cs="Palatino-Bold"/>
          <w:b/>
          <w:bCs/>
          <w:kern w:val="0"/>
          <w:sz w:val="18"/>
          <w:szCs w:val="18"/>
        </w:rPr>
        <w:t xml:space="preserve">2015, PMID 25601342): </w:t>
      </w:r>
      <w:r>
        <w:rPr>
          <w:rFonts w:ascii="Palatino-Roman" w:eastAsia="Palatino-Roman" w:cs="Palatino-Roman"/>
          <w:kern w:val="0"/>
          <w:sz w:val="18"/>
          <w:szCs w:val="18"/>
        </w:rPr>
        <w:t>2x2 PRT of 544 pts randomized to either 60 Gy/30 fx or 74 Gy/37 fx with concurrent carboplatin AUC 2/paclitaxel 45 mg/m</w:t>
      </w:r>
      <w:r>
        <w:rPr>
          <w:rFonts w:ascii="Palatino-Roman" w:eastAsia="Palatino-Roman" w:cs="Palatino-Roman"/>
          <w:kern w:val="0"/>
          <w:sz w:val="10"/>
          <w:szCs w:val="10"/>
        </w:rPr>
        <w:t xml:space="preserve">2 </w:t>
      </w:r>
      <w:r>
        <w:rPr>
          <w:rFonts w:ascii="Palatino-Roman" w:eastAsia="Palatino-Roman" w:cs="Palatino-Roman"/>
          <w:kern w:val="0"/>
          <w:sz w:val="18"/>
          <w:szCs w:val="18"/>
        </w:rPr>
        <w:t>weekly. Adjuvant CHT was given 2 weeks after RT with carboplatin AUC 6/paclitaxel 200 mg/m</w:t>
      </w:r>
      <w:r>
        <w:rPr>
          <w:rFonts w:ascii="Palatino-Roman" w:eastAsia="Palatino-Roman" w:cs="Palatino-Roman"/>
          <w:kern w:val="0"/>
          <w:sz w:val="10"/>
          <w:szCs w:val="10"/>
        </w:rPr>
        <w:t xml:space="preserve">2 </w:t>
      </w:r>
      <w:r>
        <w:rPr>
          <w:rFonts w:ascii="Palatino-Roman" w:eastAsia="Palatino-Roman" w:cs="Palatino-Roman"/>
          <w:kern w:val="0"/>
          <w:sz w:val="18"/>
          <w:szCs w:val="18"/>
        </w:rPr>
        <w:t xml:space="preserve">with second randomization to addition of cetuximab during adjuvant phase. 47% treated with IMRT. See Table 26.3. Overall, no difference in toxicity rates between 60 Gy and 74 Gy, but grade </w:t>
      </w:r>
      <w:r>
        <w:rPr>
          <w:rFonts w:ascii="Symbol" w:eastAsia="Palatino-Bold" w:hAnsi="Symbol" w:cs="Symbol"/>
          <w:kern w:val="0"/>
          <w:sz w:val="18"/>
          <w:szCs w:val="18"/>
        </w:rPr>
        <w:t>≥</w:t>
      </w:r>
      <w:r>
        <w:rPr>
          <w:rFonts w:ascii="Palatino-Roman" w:eastAsia="Palatino-Roman" w:cs="Palatino-Roman"/>
          <w:kern w:val="0"/>
          <w:sz w:val="18"/>
          <w:szCs w:val="18"/>
        </w:rPr>
        <w:t xml:space="preserve">3 esophagitis was increased in 74 Gy arm. Noncompliance was higher in 74 Gy arm. Cetuximab increased grade </w:t>
      </w:r>
      <w:r>
        <w:rPr>
          <w:rFonts w:ascii="Symbol" w:eastAsia="Palatino-Bold" w:hAnsi="Symbol" w:cs="Symbol"/>
          <w:kern w:val="0"/>
          <w:sz w:val="18"/>
          <w:szCs w:val="18"/>
        </w:rPr>
        <w:t>≥</w:t>
      </w:r>
      <w:r>
        <w:rPr>
          <w:rFonts w:ascii="Palatino-Roman" w:eastAsia="Palatino-Roman" w:cs="Palatino-Roman"/>
          <w:kern w:val="0"/>
          <w:sz w:val="18"/>
          <w:szCs w:val="18"/>
        </w:rPr>
        <w:t>3 toxicity</w:t>
      </w:r>
    </w:p>
    <w:p w:rsidR="001B2E8B" w:rsidRDefault="001B2E8B" w:rsidP="001B2E8B">
      <w:pPr>
        <w:autoSpaceDE w:val="0"/>
        <w:autoSpaceDN w:val="0"/>
        <w:adjustRightInd w:val="0"/>
        <w:rPr>
          <w:rFonts w:ascii="Palatino-Italic" w:eastAsia="Palatino-Italic" w:cs="Palatino-Italic"/>
          <w:i/>
          <w:iCs/>
          <w:kern w:val="0"/>
          <w:sz w:val="18"/>
          <w:szCs w:val="18"/>
        </w:rPr>
      </w:pPr>
      <w:r>
        <w:rPr>
          <w:rFonts w:ascii="Palatino-Roman" w:eastAsia="Palatino-Roman" w:cs="Palatino-Roman"/>
          <w:kern w:val="0"/>
          <w:sz w:val="18"/>
          <w:szCs w:val="18"/>
        </w:rPr>
        <w:t xml:space="preserve">but did not improve OS, PFS, or DM. </w:t>
      </w:r>
      <w:r>
        <w:rPr>
          <w:rFonts w:ascii="Palatino-Bold" w:eastAsia="Palatino-Bold" w:cs="Palatino-Bold"/>
          <w:b/>
          <w:bCs/>
          <w:kern w:val="0"/>
          <w:sz w:val="18"/>
          <w:szCs w:val="18"/>
        </w:rPr>
        <w:t xml:space="preserve">Conclusion: 60 Gy is standard of care. 74 Gy is harmful and not superior. No benefi t to cetuximab. </w:t>
      </w:r>
      <w:r>
        <w:rPr>
          <w:rFonts w:ascii="Palatino-Italic" w:eastAsia="Palatino-Italic" w:cs="Palatino-Italic"/>
          <w:i/>
          <w:iCs/>
          <w:kern w:val="0"/>
          <w:sz w:val="18"/>
          <w:szCs w:val="18"/>
        </w:rPr>
        <w:t>Comment: Hypotheses as to why 74 Gy survival was inferior: Treatment-related deaths were highest in 74 Gy+cetuximab arm, effect of RT on heart, PTV coverage was sacrifi ced in 74 Gy arm for safety thus leading to failures. Second</w:t>
      </w:r>
    </w:p>
    <w:p w:rsidR="001B2E8B" w:rsidRDefault="001B2E8B" w:rsidP="001B2E8B">
      <w:pPr>
        <w:autoSpaceDE w:val="0"/>
        <w:autoSpaceDN w:val="0"/>
        <w:adjustRightInd w:val="0"/>
        <w:rPr>
          <w:rFonts w:ascii="Palatino-Roman" w:eastAsia="Palatino-Roman" w:cs="Palatino-Roman"/>
          <w:kern w:val="0"/>
          <w:sz w:val="10"/>
          <w:szCs w:val="10"/>
        </w:rPr>
      </w:pPr>
      <w:r>
        <w:rPr>
          <w:rFonts w:ascii="Palatino-Italic" w:eastAsia="Palatino-Italic" w:cs="Palatino-Italic"/>
          <w:i/>
          <w:iCs/>
          <w:kern w:val="0"/>
          <w:sz w:val="18"/>
          <w:szCs w:val="18"/>
        </w:rPr>
        <w:t>analysis demonstrated dosimetric benefi ts to IMRT, reduced lung dosimetry, and correlation of heart V40 with survival.</w:t>
      </w:r>
      <w:r>
        <w:rPr>
          <w:rFonts w:ascii="Palatino-Roman" w:eastAsia="Palatino-Roman" w:cs="Palatino-Roman"/>
          <w:kern w:val="0"/>
          <w:sz w:val="10"/>
          <w:szCs w:val="10"/>
        </w:rPr>
        <w:t>13</w:t>
      </w:r>
    </w:p>
    <w:p w:rsidR="001B2E8B" w:rsidRDefault="001B2E8B" w:rsidP="001B2E8B">
      <w:pPr>
        <w:autoSpaceDE w:val="0"/>
        <w:autoSpaceDN w:val="0"/>
        <w:adjustRightInd w:val="0"/>
        <w:rPr>
          <w:rFonts w:ascii="Palatino-Roman" w:cs="Palatino-Roman"/>
          <w:kern w:val="0"/>
          <w:sz w:val="18"/>
          <w:szCs w:val="18"/>
        </w:rPr>
      </w:pPr>
      <w:r>
        <w:rPr>
          <w:noProof/>
        </w:rPr>
        <w:drawing>
          <wp:inline distT="0" distB="0" distL="0" distR="0" wp14:anchorId="6193A184" wp14:editId="51F395D3">
            <wp:extent cx="4781550" cy="1095375"/>
            <wp:effectExtent l="0" t="0" r="0" b="952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1550" cy="1095375"/>
                    </a:xfrm>
                    <a:prstGeom prst="rect">
                      <a:avLst/>
                    </a:prstGeom>
                  </pic:spPr>
                </pic:pic>
              </a:graphicData>
            </a:graphic>
          </wp:inline>
        </w:drawing>
      </w:r>
    </w:p>
    <w:p w:rsidR="001B2E8B" w:rsidRDefault="001B2E8B" w:rsidP="001B2E8B">
      <w:pPr>
        <w:autoSpaceDE w:val="0"/>
        <w:autoSpaceDN w:val="0"/>
        <w:adjustRightInd w:val="0"/>
        <w:rPr>
          <w:rFonts w:ascii="Palatino-Bold" w:eastAsia="Palatino-Bold" w:cs="Palatino-Bold"/>
          <w:b/>
          <w:bCs/>
          <w:kern w:val="0"/>
          <w:sz w:val="18"/>
          <w:szCs w:val="18"/>
        </w:rPr>
      </w:pPr>
      <w:r>
        <w:rPr>
          <w:rFonts w:ascii="Palatino-Bold" w:eastAsia="Palatino-Bold" w:cs="Palatino-Bold"/>
          <w:b/>
          <w:bCs/>
          <w:kern w:val="0"/>
          <w:sz w:val="18"/>
          <w:szCs w:val="18"/>
        </w:rPr>
        <w:t>Is there benefi t to adding induction CHT prior to concurrent chemoRT or additional consolidation CHT after concurrent chemoRT?</w:t>
      </w:r>
    </w:p>
    <w:p w:rsidR="001B2E8B" w:rsidRDefault="001B2E8B" w:rsidP="001B2E8B">
      <w:pPr>
        <w:autoSpaceDE w:val="0"/>
        <w:autoSpaceDN w:val="0"/>
        <w:adjustRightInd w:val="0"/>
        <w:rPr>
          <w:rFonts w:ascii="Palatino-Italic" w:eastAsia="Palatino-Italic" w:cs="Palatino-Italic"/>
          <w:i/>
          <w:iCs/>
          <w:kern w:val="0"/>
          <w:sz w:val="18"/>
          <w:szCs w:val="18"/>
        </w:rPr>
      </w:pPr>
      <w:r>
        <w:rPr>
          <w:rFonts w:ascii="Palatino-Italic" w:eastAsia="Palatino-Italic" w:cs="Palatino-Italic"/>
          <w:i/>
          <w:iCs/>
          <w:kern w:val="0"/>
          <w:sz w:val="18"/>
          <w:szCs w:val="18"/>
        </w:rPr>
        <w:t xml:space="preserve">The use of consolidation CHT after defi nitive chemoRT was given in </w:t>
      </w:r>
      <w:r w:rsidRPr="001B2E8B">
        <w:rPr>
          <w:rFonts w:ascii="Palatino-Italic" w:eastAsia="Palatino-Italic" w:cs="Palatino-Italic"/>
          <w:i/>
          <w:iCs/>
          <w:kern w:val="0"/>
          <w:sz w:val="18"/>
          <w:szCs w:val="18"/>
          <w:highlight w:val="yellow"/>
        </w:rPr>
        <w:t>RTOG 0617</w:t>
      </w:r>
      <w:r>
        <w:rPr>
          <w:rFonts w:ascii="Palatino-Italic" w:eastAsia="Palatino-Italic" w:cs="Palatino-Italic"/>
          <w:i/>
          <w:iCs/>
          <w:kern w:val="0"/>
          <w:sz w:val="18"/>
          <w:szCs w:val="18"/>
        </w:rPr>
        <w:t xml:space="preserve"> and is optional as per NCCN guidelines but is not standard and may increase toxicity without benefi t. Induction provides no benefi t.</w:t>
      </w:r>
    </w:p>
    <w:p w:rsidR="001B2E8B" w:rsidRDefault="001B2E8B" w:rsidP="001B2E8B">
      <w:pPr>
        <w:autoSpaceDE w:val="0"/>
        <w:autoSpaceDN w:val="0"/>
        <w:adjustRightInd w:val="0"/>
        <w:rPr>
          <w:rFonts w:ascii="Palatino-Italic" w:eastAsia="Palatino-Italic" w:cs="Palatino-Italic"/>
          <w:i/>
          <w:iCs/>
          <w:kern w:val="0"/>
          <w:sz w:val="18"/>
          <w:szCs w:val="18"/>
        </w:rPr>
      </w:pPr>
    </w:p>
    <w:p w:rsidR="001B2E8B" w:rsidRDefault="001B2E8B" w:rsidP="001B2E8B">
      <w:pPr>
        <w:autoSpaceDE w:val="0"/>
        <w:autoSpaceDN w:val="0"/>
        <w:adjustRightInd w:val="0"/>
        <w:rPr>
          <w:rFonts w:ascii="Palatino-Bold" w:eastAsia="Palatino-Bold" w:cs="Palatino-Bold"/>
          <w:b/>
          <w:bCs/>
          <w:kern w:val="0"/>
          <w:sz w:val="18"/>
          <w:szCs w:val="18"/>
        </w:rPr>
      </w:pPr>
      <w:r>
        <w:rPr>
          <w:rFonts w:ascii="Palatino-Bold" w:eastAsia="Palatino-Bold" w:cs="Palatino-Bold"/>
          <w:b/>
          <w:bCs/>
          <w:kern w:val="0"/>
          <w:sz w:val="18"/>
          <w:szCs w:val="18"/>
        </w:rPr>
        <w:t xml:space="preserve">Curran, </w:t>
      </w:r>
      <w:r w:rsidRPr="001B2E8B">
        <w:rPr>
          <w:rFonts w:ascii="Palatino-Bold" w:eastAsia="Palatino-Bold" w:cs="Palatino-Bold"/>
          <w:b/>
          <w:bCs/>
          <w:kern w:val="0"/>
          <w:sz w:val="18"/>
          <w:szCs w:val="18"/>
          <w:highlight w:val="yellow"/>
        </w:rPr>
        <w:t>RTOG 9410</w:t>
      </w:r>
      <w:r>
        <w:rPr>
          <w:rFonts w:ascii="Palatino-Bold" w:eastAsia="Palatino-Bold" w:cs="Palatino-Bold"/>
          <w:b/>
          <w:bCs/>
          <w:kern w:val="0"/>
          <w:sz w:val="18"/>
          <w:szCs w:val="18"/>
        </w:rPr>
        <w:t xml:space="preserve"> (</w:t>
      </w:r>
      <w:r>
        <w:rPr>
          <w:rFonts w:ascii="Palatino-BoldItalic" w:eastAsia="Palatino-BoldItalic" w:cs="Palatino-BoldItalic"/>
          <w:b/>
          <w:bCs/>
          <w:i/>
          <w:iCs/>
          <w:kern w:val="0"/>
          <w:sz w:val="18"/>
          <w:szCs w:val="18"/>
        </w:rPr>
        <w:t xml:space="preserve">JNCI </w:t>
      </w:r>
      <w:r>
        <w:rPr>
          <w:rFonts w:ascii="Palatino-Bold" w:eastAsia="Palatino-Bold" w:cs="Palatino-Bold"/>
          <w:b/>
          <w:bCs/>
          <w:kern w:val="0"/>
          <w:sz w:val="18"/>
          <w:szCs w:val="18"/>
        </w:rPr>
        <w:t xml:space="preserve">2011, PMID 21903745): </w:t>
      </w:r>
      <w:r>
        <w:rPr>
          <w:rFonts w:ascii="Palatino-Roman" w:eastAsia="Palatino-Roman" w:cs="Palatino-Roman"/>
          <w:kern w:val="0"/>
          <w:sz w:val="18"/>
          <w:szCs w:val="18"/>
        </w:rPr>
        <w:t xml:space="preserve">Three-arm PRT of 610 pts with unresectable stage III NSCLC. See Table 26.2. Statistical signifi cance was demonstrated between sequential and concurrent daily arms. </w:t>
      </w:r>
      <w:r>
        <w:rPr>
          <w:rFonts w:ascii="Palatino-Bold" w:eastAsia="Palatino-Bold" w:cs="Palatino-Bold"/>
          <w:b/>
          <w:bCs/>
          <w:kern w:val="0"/>
          <w:sz w:val="18"/>
          <w:szCs w:val="18"/>
        </w:rPr>
        <w:t>Conclusion: Concurrent CHT is superior to sequential.</w:t>
      </w:r>
    </w:p>
    <w:p w:rsidR="001B2E8B" w:rsidRDefault="001B2E8B" w:rsidP="001B2E8B">
      <w:pPr>
        <w:autoSpaceDE w:val="0"/>
        <w:autoSpaceDN w:val="0"/>
        <w:adjustRightInd w:val="0"/>
        <w:rPr>
          <w:rFonts w:ascii="Palatino-Roman" w:cs="Palatino-Roman"/>
          <w:kern w:val="0"/>
          <w:sz w:val="18"/>
          <w:szCs w:val="18"/>
        </w:rPr>
      </w:pPr>
      <w:r>
        <w:rPr>
          <w:noProof/>
        </w:rPr>
        <w:drawing>
          <wp:inline distT="0" distB="0" distL="0" distR="0" wp14:anchorId="21204668" wp14:editId="1B045023">
            <wp:extent cx="4102873" cy="1176986"/>
            <wp:effectExtent l="0" t="0" r="0" b="444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0406" cy="1187753"/>
                    </a:xfrm>
                    <a:prstGeom prst="rect">
                      <a:avLst/>
                    </a:prstGeom>
                  </pic:spPr>
                </pic:pic>
              </a:graphicData>
            </a:graphic>
          </wp:inline>
        </w:drawing>
      </w:r>
    </w:p>
    <w:p w:rsidR="001B2E8B" w:rsidRDefault="001B2E8B" w:rsidP="001B2E8B">
      <w:pPr>
        <w:autoSpaceDE w:val="0"/>
        <w:autoSpaceDN w:val="0"/>
        <w:adjustRightInd w:val="0"/>
        <w:rPr>
          <w:rFonts w:ascii="Palatino-Roman" w:cs="Palatino-Roman"/>
          <w:kern w:val="0"/>
          <w:sz w:val="18"/>
          <w:szCs w:val="18"/>
        </w:rPr>
      </w:pPr>
    </w:p>
    <w:p w:rsidR="001B2E8B" w:rsidRDefault="001B2E8B" w:rsidP="001B2E8B">
      <w:pPr>
        <w:autoSpaceDE w:val="0"/>
        <w:autoSpaceDN w:val="0"/>
        <w:adjustRightInd w:val="0"/>
        <w:rPr>
          <w:rFonts w:ascii="WgspvqFsxpfkNewAster" w:eastAsia="WgspvqFsxpfkNewAster" w:cs="WgspvqFsxpfkNewAster"/>
          <w:color w:val="000000"/>
          <w:kern w:val="0"/>
          <w:sz w:val="18"/>
          <w:szCs w:val="18"/>
        </w:rPr>
      </w:pPr>
      <w:r w:rsidRPr="001B2E8B">
        <w:rPr>
          <w:rFonts w:ascii="WgspvqFsxpfkNewAster" w:eastAsia="WgspvqFsxpfkNewAster" w:cs="WgspvqFsxpfkNewAster"/>
          <w:color w:val="000000"/>
          <w:kern w:val="0"/>
          <w:sz w:val="18"/>
          <w:szCs w:val="18"/>
          <w:highlight w:val="yellow"/>
        </w:rPr>
        <w:t>RTOG 9410</w:t>
      </w:r>
      <w:r>
        <w:rPr>
          <w:rFonts w:ascii="WgspvqFsxpfkNewAster" w:eastAsia="WgspvqFsxpfkNewAster" w:cs="WgspvqFsxpfkNewAster"/>
          <w:color w:val="000000"/>
          <w:kern w:val="0"/>
          <w:sz w:val="18"/>
          <w:szCs w:val="18"/>
        </w:rPr>
        <w:t xml:space="preserve"> (Curran, JNCI </w:t>
      </w:r>
      <w:r>
        <w:rPr>
          <w:rFonts w:ascii="WgspvqFsxpfkNewAster" w:eastAsia="WgspvqFsxpfkNewAster" w:cs="WgspvqFsxpfkNewAster"/>
          <w:color w:val="0000FB"/>
          <w:kern w:val="0"/>
          <w:sz w:val="18"/>
          <w:szCs w:val="18"/>
        </w:rPr>
        <w:t>2011</w:t>
      </w:r>
      <w:r>
        <w:rPr>
          <w:rFonts w:ascii="WgspvqFsxpfkNewAster" w:eastAsia="WgspvqFsxpfkNewAster" w:cs="WgspvqFsxpfkNewAster"/>
          <w:color w:val="000000"/>
          <w:kern w:val="0"/>
          <w:sz w:val="18"/>
          <w:szCs w:val="18"/>
        </w:rPr>
        <w:t>). 610 pts with unresectable or inoperable II/III (98% III) treated with sequential cisplatin/vinblastine then 63 Gy vs concurrent cisplatin/vinblastine +63 Gy QD vs concurrent cisplatin/etoposide +69.6 Gy / 1.2 Gy BID. Concurrent</w:t>
      </w:r>
    </w:p>
    <w:p w:rsidR="001B2E8B" w:rsidRDefault="001B2E8B" w:rsidP="001B2E8B">
      <w:pPr>
        <w:autoSpaceDE w:val="0"/>
        <w:autoSpaceDN w:val="0"/>
        <w:adjustRightInd w:val="0"/>
        <w:rPr>
          <w:rFonts w:ascii="WgspvqFsxpfkNewAster" w:eastAsia="WgspvqFsxpfkNewAster" w:cs="WgspvqFsxpfkNewAster"/>
          <w:color w:val="000000"/>
          <w:kern w:val="0"/>
          <w:sz w:val="18"/>
          <w:szCs w:val="18"/>
        </w:rPr>
      </w:pPr>
      <w:r>
        <w:rPr>
          <w:rFonts w:ascii="WgspvqFsxpfkNewAster" w:eastAsia="WgspvqFsxpfkNewAster" w:cs="WgspvqFsxpfkNewAster"/>
          <w:color w:val="000000"/>
          <w:kern w:val="0"/>
          <w:sz w:val="18"/>
          <w:szCs w:val="18"/>
        </w:rPr>
        <w:t>chemo-RT improved MS: 14.6 mo vs 17 mo vs 15.2 mo, respectively.</w:t>
      </w:r>
    </w:p>
    <w:p w:rsidR="001B2E8B" w:rsidRDefault="001B2E8B" w:rsidP="001B2E8B">
      <w:pPr>
        <w:autoSpaceDE w:val="0"/>
        <w:autoSpaceDN w:val="0"/>
        <w:adjustRightInd w:val="0"/>
        <w:rPr>
          <w:rFonts w:ascii="WgspvqFsxpfkNewAster" w:eastAsia="WgspvqFsxpfkNewAster" w:cs="WgspvqFsxpfkNewAster"/>
          <w:color w:val="000000"/>
          <w:kern w:val="0"/>
          <w:sz w:val="18"/>
          <w:szCs w:val="18"/>
        </w:rPr>
      </w:pPr>
    </w:p>
    <w:p w:rsidR="001B2E8B" w:rsidRPr="00E1460D" w:rsidRDefault="001B2E8B" w:rsidP="001B2E8B">
      <w:pPr>
        <w:autoSpaceDE w:val="0"/>
        <w:autoSpaceDN w:val="0"/>
        <w:adjustRightInd w:val="0"/>
        <w:rPr>
          <w:rFonts w:ascii="Palatino-Roman" w:cs="Palatino-Roman"/>
          <w:kern w:val="0"/>
          <w:sz w:val="18"/>
          <w:szCs w:val="18"/>
        </w:rPr>
      </w:pPr>
      <w:r>
        <w:rPr>
          <w:rFonts w:ascii="Palatino-Bold" w:eastAsia="Palatino-Bold" w:cs="Palatino-Bold"/>
          <w:b/>
          <w:bCs/>
          <w:kern w:val="0"/>
          <w:sz w:val="18"/>
          <w:szCs w:val="18"/>
        </w:rPr>
        <w:t xml:space="preserve">Hanna, </w:t>
      </w:r>
      <w:r w:rsidRPr="001B2E8B">
        <w:rPr>
          <w:rFonts w:ascii="Palatino-Bold" w:eastAsia="Palatino-Bold" w:cs="Palatino-Bold"/>
          <w:b/>
          <w:bCs/>
          <w:kern w:val="0"/>
          <w:sz w:val="18"/>
          <w:szCs w:val="18"/>
          <w:highlight w:val="yellow"/>
        </w:rPr>
        <w:t>Hoosier</w:t>
      </w:r>
      <w:r>
        <w:rPr>
          <w:rFonts w:ascii="Palatino-Bold" w:eastAsia="Palatino-Bold" w:cs="Palatino-Bold"/>
          <w:b/>
          <w:bCs/>
          <w:kern w:val="0"/>
          <w:sz w:val="18"/>
          <w:szCs w:val="18"/>
        </w:rPr>
        <w:t xml:space="preserve"> Oncology Group (</w:t>
      </w:r>
      <w:r>
        <w:rPr>
          <w:rFonts w:ascii="Palatino-BoldItalic" w:eastAsia="Palatino-BoldItalic" w:cs="Palatino-BoldItalic"/>
          <w:b/>
          <w:bCs/>
          <w:i/>
          <w:iCs/>
          <w:kern w:val="0"/>
          <w:sz w:val="18"/>
          <w:szCs w:val="18"/>
        </w:rPr>
        <w:t xml:space="preserve">JCO </w:t>
      </w:r>
      <w:r>
        <w:rPr>
          <w:rFonts w:ascii="Palatino-Bold" w:eastAsia="Palatino-Bold" w:cs="Palatino-Bold"/>
          <w:b/>
          <w:bCs/>
          <w:kern w:val="0"/>
          <w:sz w:val="18"/>
          <w:szCs w:val="18"/>
        </w:rPr>
        <w:t xml:space="preserve">2008, PMID 19001323; Update Jalal, </w:t>
      </w:r>
      <w:r>
        <w:rPr>
          <w:rFonts w:ascii="Palatino-BoldItalic" w:eastAsia="Palatino-BoldItalic" w:cs="Palatino-BoldItalic"/>
          <w:b/>
          <w:bCs/>
          <w:i/>
          <w:iCs/>
          <w:kern w:val="0"/>
          <w:sz w:val="18"/>
          <w:szCs w:val="18"/>
        </w:rPr>
        <w:t xml:space="preserve">Ann Oncol </w:t>
      </w:r>
      <w:r>
        <w:rPr>
          <w:rFonts w:ascii="Palatino-Bold" w:eastAsia="Palatino-Bold" w:cs="Palatino-Bold"/>
          <w:b/>
          <w:bCs/>
          <w:kern w:val="0"/>
          <w:sz w:val="18"/>
          <w:szCs w:val="18"/>
        </w:rPr>
        <w:t xml:space="preserve">2012, PMID 22156624): </w:t>
      </w:r>
      <w:r>
        <w:rPr>
          <w:rFonts w:ascii="Palatino-Roman" w:eastAsia="Palatino-Roman" w:cs="Palatino-Roman"/>
          <w:kern w:val="0"/>
          <w:sz w:val="18"/>
          <w:szCs w:val="18"/>
        </w:rPr>
        <w:t xml:space="preserve">Phase III PRT of 203 pts with stage IIIA/B NSCLC treated with cisplatin/etoposide concurrent with RT to 59.4 Gy, then randomized to adjuvant docetaxel versus observation. Closed early due to futility. MS not signifi cantly different (initial publication 21.7 vs. 21.2 mos, no difference on update). Toxicity was increased in docetaxel arm. </w:t>
      </w:r>
      <w:r>
        <w:rPr>
          <w:rFonts w:ascii="Palatino-Bold" w:eastAsia="Palatino-Bold" w:cs="Palatino-Bold"/>
          <w:b/>
          <w:bCs/>
          <w:kern w:val="0"/>
          <w:sz w:val="18"/>
          <w:szCs w:val="18"/>
        </w:rPr>
        <w:t>Conclusion: Consolidation docetaxel increases toxicity but not survival.</w:t>
      </w:r>
      <w:bookmarkStart w:id="0" w:name="_GoBack"/>
      <w:bookmarkEnd w:id="0"/>
    </w:p>
    <w:sectPr w:rsidR="001B2E8B" w:rsidRPr="00E1460D" w:rsidSect="00C72652">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336F" w:rsidRDefault="00B6336F" w:rsidP="002167D7">
      <w:r>
        <w:separator/>
      </w:r>
    </w:p>
  </w:endnote>
  <w:endnote w:type="continuationSeparator" w:id="0">
    <w:p w:rsidR="00B6336F" w:rsidRDefault="00B6336F" w:rsidP="00216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Palatino-Bold">
    <w:altName w:val="Arial Unicode MS"/>
    <w:panose1 w:val="00000000000000000000"/>
    <w:charset w:val="88"/>
    <w:family w:val="auto"/>
    <w:notTrueType/>
    <w:pitch w:val="default"/>
    <w:sig w:usb0="00000001" w:usb1="08080000" w:usb2="00000010" w:usb3="00000000" w:csb0="00100000" w:csb1="00000000"/>
  </w:font>
  <w:font w:name="Palatino-Italic">
    <w:altName w:val="Arial Unicode MS"/>
    <w:panose1 w:val="00000000000000000000"/>
    <w:charset w:val="88"/>
    <w:family w:val="auto"/>
    <w:notTrueType/>
    <w:pitch w:val="default"/>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Palatino-Roman">
    <w:altName w:val="MS Mincho"/>
    <w:panose1 w:val="00000000000000000000"/>
    <w:charset w:val="80"/>
    <w:family w:val="auto"/>
    <w:notTrueType/>
    <w:pitch w:val="default"/>
    <w:sig w:usb0="00000001" w:usb1="08070000" w:usb2="00000010" w:usb3="00000000" w:csb0="00020000" w:csb1="00000000"/>
  </w:font>
  <w:font w:name="Palatino-BoldItalic">
    <w:altName w:val="Arial Unicode MS"/>
    <w:panose1 w:val="00000000000000000000"/>
    <w:charset w:val="88"/>
    <w:family w:val="auto"/>
    <w:notTrueType/>
    <w:pitch w:val="default"/>
    <w:sig w:usb0="00000001" w:usb1="08080000" w:usb2="00000010" w:usb3="00000000" w:csb0="00100000" w:csb1="00000000"/>
  </w:font>
  <w:font w:name="WgspvqFsxpfkNewAster">
    <w:altName w:val="Arial Unicode MS"/>
    <w:panose1 w:val="00000000000000000000"/>
    <w:charset w:val="88"/>
    <w:family w:val="auto"/>
    <w:notTrueType/>
    <w:pitch w:val="default"/>
    <w:sig w:usb0="00000001" w:usb1="08080000" w:usb2="00000010" w:usb3="00000000" w:csb0="00100000" w:csb1="00000000"/>
  </w:font>
  <w:font w:name="PnrrypFwdygnSTIXGeneral-Regular">
    <w:altName w:val="新細明體"/>
    <w:panose1 w:val="00000000000000000000"/>
    <w:charset w:val="88"/>
    <w:family w:val="roman"/>
    <w:notTrueType/>
    <w:pitch w:val="default"/>
    <w:sig w:usb0="00000001" w:usb1="08080000" w:usb2="00000010" w:usb3="00000000" w:csb0="00100000" w:csb1="00000000"/>
  </w:font>
  <w:font w:name="SjyjrhWbllsbNewAster-Italic">
    <w:altName w:val="Arial Unicode MS"/>
    <w:panose1 w:val="00000000000000000000"/>
    <w:charset w:val="88"/>
    <w:family w:val="auto"/>
    <w:notTrueType/>
    <w:pitch w:val="default"/>
    <w:sig w:usb0="00000001" w:usb1="08080000" w:usb2="00000010" w:usb3="00000000" w:csb0="00100000" w:csb1="00000000"/>
  </w:font>
  <w:font w:name="HwvcmgVmxmsqWingdings">
    <w:altName w:val="Arial Unicode MS"/>
    <w:panose1 w:val="00000000000000000000"/>
    <w:charset w:val="88"/>
    <w:family w:val="auto"/>
    <w:notTrueType/>
    <w:pitch w:val="default"/>
    <w:sig w:usb0="00000001" w:usb1="08080000" w:usb2="00000010" w:usb3="00000000" w:csb0="00100000"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336F" w:rsidRDefault="00B6336F" w:rsidP="002167D7">
      <w:r>
        <w:separator/>
      </w:r>
    </w:p>
  </w:footnote>
  <w:footnote w:type="continuationSeparator" w:id="0">
    <w:p w:rsidR="00B6336F" w:rsidRDefault="00B6336F" w:rsidP="002167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652"/>
    <w:rsid w:val="001575C3"/>
    <w:rsid w:val="001B2E8B"/>
    <w:rsid w:val="002167D7"/>
    <w:rsid w:val="003B78AC"/>
    <w:rsid w:val="00B6336F"/>
    <w:rsid w:val="00C72652"/>
    <w:rsid w:val="00E146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839925D-A687-4CD2-9EAA-5C6EE5F51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167D7"/>
    <w:pPr>
      <w:tabs>
        <w:tab w:val="center" w:pos="4153"/>
        <w:tab w:val="right" w:pos="8306"/>
      </w:tabs>
      <w:snapToGrid w:val="0"/>
    </w:pPr>
    <w:rPr>
      <w:sz w:val="20"/>
      <w:szCs w:val="20"/>
    </w:rPr>
  </w:style>
  <w:style w:type="character" w:customStyle="1" w:styleId="a4">
    <w:name w:val="頁首 字元"/>
    <w:basedOn w:val="a0"/>
    <w:link w:val="a3"/>
    <w:uiPriority w:val="99"/>
    <w:rsid w:val="002167D7"/>
    <w:rPr>
      <w:sz w:val="20"/>
      <w:szCs w:val="20"/>
    </w:rPr>
  </w:style>
  <w:style w:type="paragraph" w:styleId="a5">
    <w:name w:val="footer"/>
    <w:basedOn w:val="a"/>
    <w:link w:val="a6"/>
    <w:uiPriority w:val="99"/>
    <w:unhideWhenUsed/>
    <w:rsid w:val="002167D7"/>
    <w:pPr>
      <w:tabs>
        <w:tab w:val="center" w:pos="4153"/>
        <w:tab w:val="right" w:pos="8306"/>
      </w:tabs>
      <w:snapToGrid w:val="0"/>
    </w:pPr>
    <w:rPr>
      <w:sz w:val="20"/>
      <w:szCs w:val="20"/>
    </w:rPr>
  </w:style>
  <w:style w:type="character" w:customStyle="1" w:styleId="a6">
    <w:name w:val="頁尾 字元"/>
    <w:basedOn w:val="a0"/>
    <w:link w:val="a5"/>
    <w:uiPriority w:val="99"/>
    <w:rsid w:val="002167D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1942</Words>
  <Characters>11073</Characters>
  <Application>Microsoft Office Word</Application>
  <DocSecurity>0</DocSecurity>
  <Lines>92</Lines>
  <Paragraphs>25</Paragraphs>
  <ScaleCrop>false</ScaleCrop>
  <Company>tsgh</Company>
  <LinksUpToDate>false</LinksUpToDate>
  <CharactersWithSpaces>12990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放射腫瘤部</dc:creator>
  <cp:keywords/>
  <dc:description/>
  <cp:lastModifiedBy>放射腫瘤部</cp:lastModifiedBy>
  <cp:revision>2</cp:revision>
  <dcterms:created xsi:type="dcterms:W3CDTF">2020-03-12T11:57:00Z</dcterms:created>
  <dcterms:modified xsi:type="dcterms:W3CDTF">2020-03-12T15:12:00Z</dcterms:modified>
</cp:coreProperties>
</file>