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053" w:rsidRDefault="00090053" w:rsidP="00090053">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t>Slotman, EORTC 08993-</w:t>
      </w:r>
      <w:r w:rsidRPr="00C6719C">
        <w:rPr>
          <w:rFonts w:ascii="Palatino-Bold" w:eastAsia="Palatino-Bold" w:cs="Palatino-Bold"/>
          <w:b/>
          <w:bCs/>
          <w:kern w:val="0"/>
          <w:sz w:val="18"/>
          <w:szCs w:val="18"/>
          <w:highlight w:val="yellow"/>
        </w:rPr>
        <w:t>22993</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NEJM </w:t>
      </w:r>
      <w:r>
        <w:rPr>
          <w:rFonts w:ascii="Palatino-Bold" w:eastAsia="Palatino-Bold" w:cs="Palatino-Bold"/>
          <w:b/>
          <w:bCs/>
          <w:kern w:val="0"/>
          <w:sz w:val="18"/>
          <w:szCs w:val="18"/>
        </w:rPr>
        <w:t xml:space="preserve">2007, PMID 17699816): </w:t>
      </w:r>
      <w:r>
        <w:rPr>
          <w:rFonts w:ascii="Palatino-Roman" w:eastAsia="Palatino-Roman" w:cs="Palatino-Roman"/>
          <w:kern w:val="0"/>
          <w:sz w:val="18"/>
          <w:szCs w:val="18"/>
        </w:rPr>
        <w:t>Phase III RCT of PCI in ES-SCLC, including pts aged 18 to 75, PS 0-2, response to CHT, no previous RT, no clinical suggestion of brain mets (imaging not required), N = 286. PCI ranged from 20 to 30 Gy with fractionation that was variable but consistent within an institution. Median</w:t>
      </w:r>
    </w:p>
    <w:p w:rsidR="00B50484" w:rsidRDefault="00090053" w:rsidP="00090053">
      <w:pPr>
        <w:autoSpaceDE w:val="0"/>
        <w:autoSpaceDN w:val="0"/>
        <w:adjustRightInd w:val="0"/>
        <w:rPr>
          <w:rFonts w:ascii="Palatino-Italic" w:eastAsia="Palatino-Italic" w:cs="Palatino-Italic"/>
          <w:i/>
          <w:iCs/>
          <w:kern w:val="0"/>
          <w:sz w:val="18"/>
          <w:szCs w:val="18"/>
        </w:rPr>
      </w:pPr>
      <w:r>
        <w:rPr>
          <w:rFonts w:ascii="Palatino-Roman" w:eastAsia="Palatino-Roman" w:cs="Palatino-Roman"/>
          <w:kern w:val="0"/>
          <w:sz w:val="18"/>
          <w:szCs w:val="18"/>
        </w:rPr>
        <w:t xml:space="preserve">interval between diagnosis and randomization was 4.2 mos. Note that primary endpoint was reduction in symptomatic brain metastases. There was no difference in extracranial disease progression between groups. There was no difference in cognitive and emotional function with PCI. </w:t>
      </w:r>
      <w:r>
        <w:rPr>
          <w:rFonts w:ascii="Palatino-Bold" w:eastAsia="Palatino-Bold" w:cs="Palatino-Bold"/>
          <w:b/>
          <w:bCs/>
          <w:kern w:val="0"/>
          <w:sz w:val="18"/>
          <w:szCs w:val="18"/>
        </w:rPr>
        <w:t xml:space="preserve">Conclusion: PCI reduces incidence of symptomatic brain metastases and prolongs DFS and OS. </w:t>
      </w:r>
      <w:r>
        <w:rPr>
          <w:rFonts w:ascii="Palatino-Italic" w:eastAsia="Palatino-Italic" w:cs="Palatino-Italic"/>
          <w:i/>
          <w:iCs/>
          <w:kern w:val="0"/>
          <w:sz w:val="18"/>
          <w:szCs w:val="18"/>
        </w:rPr>
        <w:t>Comment: Brain imaging was not required prior to randomization.</w:t>
      </w:r>
    </w:p>
    <w:p w:rsidR="00090053" w:rsidRDefault="00090053" w:rsidP="00090053">
      <w:pPr>
        <w:autoSpaceDE w:val="0"/>
        <w:autoSpaceDN w:val="0"/>
        <w:adjustRightInd w:val="0"/>
      </w:pPr>
      <w:r>
        <w:rPr>
          <w:noProof/>
        </w:rPr>
        <w:drawing>
          <wp:inline distT="0" distB="0" distL="0" distR="0" wp14:anchorId="230BBD2D" wp14:editId="5EA425C3">
            <wp:extent cx="4752975" cy="105727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2975" cy="1057275"/>
                    </a:xfrm>
                    <a:prstGeom prst="rect">
                      <a:avLst/>
                    </a:prstGeom>
                  </pic:spPr>
                </pic:pic>
              </a:graphicData>
            </a:graphic>
          </wp:inline>
        </w:drawing>
      </w:r>
    </w:p>
    <w:p w:rsidR="00090053" w:rsidRDefault="00090053" w:rsidP="00090053">
      <w:pPr>
        <w:autoSpaceDE w:val="0"/>
        <w:autoSpaceDN w:val="0"/>
        <w:adjustRightInd w:val="0"/>
      </w:pPr>
    </w:p>
    <w:p w:rsidR="00090053" w:rsidRDefault="00090053" w:rsidP="00090053">
      <w:pPr>
        <w:autoSpaceDE w:val="0"/>
        <w:autoSpaceDN w:val="0"/>
        <w:adjustRightInd w:val="0"/>
        <w:rPr>
          <w:rFonts w:ascii="Palatino-Roman" w:eastAsia="Palatino-Roman" w:cs="Palatino-Roman"/>
          <w:kern w:val="0"/>
          <w:sz w:val="18"/>
          <w:szCs w:val="18"/>
        </w:rPr>
      </w:pPr>
      <w:r w:rsidRPr="00C6719C">
        <w:rPr>
          <w:rFonts w:ascii="Palatino-Bold" w:eastAsia="Palatino-Bold" w:cs="Palatino-Bold"/>
          <w:b/>
          <w:bCs/>
          <w:kern w:val="0"/>
          <w:sz w:val="18"/>
          <w:szCs w:val="18"/>
          <w:highlight w:val="yellow"/>
        </w:rPr>
        <w:t>Auperin</w:t>
      </w:r>
      <w:r>
        <w:rPr>
          <w:rFonts w:ascii="Palatino-Bold" w:eastAsia="Palatino-Bold" w:cs="Palatino-Bold"/>
          <w:b/>
          <w:bCs/>
          <w:kern w:val="0"/>
          <w:sz w:val="18"/>
          <w:szCs w:val="18"/>
        </w:rPr>
        <w:t xml:space="preserve">, French </w:t>
      </w:r>
      <w:r w:rsidRPr="00C6719C">
        <w:rPr>
          <w:rFonts w:ascii="Palatino-Bold" w:eastAsia="Palatino-Bold" w:cs="Palatino-Bold"/>
          <w:b/>
          <w:bCs/>
          <w:kern w:val="0"/>
          <w:sz w:val="18"/>
          <w:szCs w:val="18"/>
          <w:highlight w:val="yellow"/>
        </w:rPr>
        <w:t>Meta-analysis</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NEJM </w:t>
      </w:r>
      <w:r>
        <w:rPr>
          <w:rFonts w:ascii="Palatino-Bold" w:eastAsia="Palatino-Bold" w:cs="Palatino-Bold"/>
          <w:b/>
          <w:bCs/>
          <w:kern w:val="0"/>
          <w:sz w:val="18"/>
          <w:szCs w:val="18"/>
        </w:rPr>
        <w:t xml:space="preserve">1999, PMID 10441603): </w:t>
      </w:r>
      <w:r>
        <w:rPr>
          <w:rFonts w:ascii="Palatino-Roman" w:eastAsia="Palatino-Roman" w:cs="Palatino-Roman"/>
          <w:kern w:val="0"/>
          <w:sz w:val="18"/>
          <w:szCs w:val="18"/>
        </w:rPr>
        <w:t>Meta-analysis of 987 pts</w:t>
      </w:r>
      <w:r>
        <w:rPr>
          <w:rFonts w:ascii="Palatino-Roman" w:cs="Palatino-Roman" w:hint="eastAsia"/>
          <w:kern w:val="0"/>
          <w:sz w:val="18"/>
          <w:szCs w:val="18"/>
        </w:rPr>
        <w:t xml:space="preserve"> </w:t>
      </w:r>
      <w:r>
        <w:rPr>
          <w:rFonts w:ascii="Palatino-Roman" w:eastAsia="Palatino-Roman" w:cs="Palatino-Roman"/>
          <w:kern w:val="0"/>
          <w:sz w:val="18"/>
          <w:szCs w:val="18"/>
        </w:rPr>
        <w:t>w/ SCLC in CR from seven RCTs conducted between 1965 and 1995 comparing PCI to no PCI. Note that most pts on this meta-analysis were limited stage but ~15% were extensive stage. PCI was performed in varied doses and fractionations. An analysis of four dose</w:t>
      </w:r>
    </w:p>
    <w:p w:rsidR="00090053" w:rsidRDefault="00090053" w:rsidP="00090053">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groups was performed: 8 Gy/1 fx versus 24</w:t>
      </w:r>
      <w:r>
        <w:rPr>
          <w:rFonts w:ascii="Palatino-Roman" w:eastAsia="Palatino-Roman" w:cs="Palatino-Roman" w:hint="eastAsia"/>
          <w:kern w:val="0"/>
          <w:sz w:val="18"/>
          <w:szCs w:val="18"/>
        </w:rPr>
        <w:t>–</w:t>
      </w:r>
      <w:r>
        <w:rPr>
          <w:rFonts w:ascii="Palatino-Roman" w:eastAsia="Palatino-Roman" w:cs="Palatino-Roman"/>
          <w:kern w:val="0"/>
          <w:sz w:val="18"/>
          <w:szCs w:val="18"/>
        </w:rPr>
        <w:t>25 Gy/8</w:t>
      </w:r>
      <w:r>
        <w:rPr>
          <w:rFonts w:ascii="Palatino-Roman" w:eastAsia="Palatino-Roman" w:cs="Palatino-Roman" w:hint="eastAsia"/>
          <w:kern w:val="0"/>
          <w:sz w:val="18"/>
          <w:szCs w:val="18"/>
        </w:rPr>
        <w:t>–</w:t>
      </w:r>
      <w:r>
        <w:rPr>
          <w:rFonts w:ascii="Palatino-Roman" w:eastAsia="Palatino-Roman" w:cs="Palatino-Roman"/>
          <w:kern w:val="0"/>
          <w:sz w:val="18"/>
          <w:szCs w:val="18"/>
        </w:rPr>
        <w:t>12 fx versus 30 Gy/10 fx versus 36</w:t>
      </w:r>
      <w:r>
        <w:rPr>
          <w:rFonts w:ascii="Palatino-Roman" w:eastAsia="Palatino-Roman" w:cs="Palatino-Roman" w:hint="eastAsia"/>
          <w:kern w:val="0"/>
          <w:sz w:val="18"/>
          <w:szCs w:val="18"/>
        </w:rPr>
        <w:t>–</w:t>
      </w:r>
      <w:r>
        <w:rPr>
          <w:rFonts w:ascii="Palatino-Roman" w:eastAsia="Palatino-Roman" w:cs="Palatino-Roman"/>
          <w:kern w:val="0"/>
          <w:sz w:val="18"/>
          <w:szCs w:val="18"/>
        </w:rPr>
        <w:t>40 Gy/18</w:t>
      </w:r>
      <w:r>
        <w:rPr>
          <w:rFonts w:ascii="Palatino-Roman" w:eastAsia="Palatino-Roman" w:cs="Palatino-Roman" w:hint="eastAsia"/>
          <w:kern w:val="0"/>
          <w:sz w:val="18"/>
          <w:szCs w:val="18"/>
        </w:rPr>
        <w:t>–</w:t>
      </w:r>
      <w:r>
        <w:rPr>
          <w:rFonts w:ascii="Palatino-Roman" w:eastAsia="Palatino-Roman" w:cs="Palatino-Roman"/>
          <w:kern w:val="0"/>
          <w:sz w:val="18"/>
          <w:szCs w:val="18"/>
        </w:rPr>
        <w:t>20 fx. PCI improved 3-yr OS and reduced incidence of brain mets (see Table 27.8). Effect of PCI on OS did not differ signifi cantly according to total dose. However, there was a trend toward lower risk of brain mets as RT dose increased. There was also trend toward greater effect of PCI on incidence of brain mets in pts randomized sooner (&lt;6 mos) after CHT.</w:t>
      </w:r>
    </w:p>
    <w:p w:rsidR="00090053" w:rsidRDefault="00090053" w:rsidP="00090053">
      <w:pPr>
        <w:autoSpaceDE w:val="0"/>
        <w:autoSpaceDN w:val="0"/>
        <w:adjustRightInd w:val="0"/>
      </w:pPr>
      <w:r>
        <w:rPr>
          <w:noProof/>
        </w:rPr>
        <w:drawing>
          <wp:inline distT="0" distB="0" distL="0" distR="0" wp14:anchorId="7CF50109" wp14:editId="4B2ACE5C">
            <wp:extent cx="3067050" cy="10287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050" cy="1028700"/>
                    </a:xfrm>
                    <a:prstGeom prst="rect">
                      <a:avLst/>
                    </a:prstGeom>
                  </pic:spPr>
                </pic:pic>
              </a:graphicData>
            </a:graphic>
          </wp:inline>
        </w:drawing>
      </w:r>
    </w:p>
    <w:p w:rsidR="00090053" w:rsidRDefault="00090053" w:rsidP="00090053">
      <w:pPr>
        <w:autoSpaceDE w:val="0"/>
        <w:autoSpaceDN w:val="0"/>
        <w:adjustRightInd w:val="0"/>
      </w:pPr>
    </w:p>
    <w:p w:rsidR="00090053" w:rsidRDefault="00C6719C" w:rsidP="00C6719C">
      <w:pPr>
        <w:autoSpaceDE w:val="0"/>
        <w:autoSpaceDN w:val="0"/>
        <w:adjustRightInd w:val="0"/>
        <w:rPr>
          <w:rFonts w:ascii="MnwdfkLjwccfNewAster" w:eastAsia="MnwdfkLjwccfNewAster" w:cs="MnwdfkLjwccfNewAster"/>
          <w:color w:val="000000"/>
          <w:kern w:val="0"/>
          <w:sz w:val="18"/>
          <w:szCs w:val="18"/>
        </w:rPr>
      </w:pPr>
      <w:r>
        <w:rPr>
          <w:rFonts w:ascii="WwwswpVgqjcxSTIXGeneral-Regular" w:eastAsia="WwwswpVgqjcxSTIXGeneral-Regular" w:cs="WwwswpVgqjcxSTIXGeneral-Regular"/>
          <w:color w:val="DA0000"/>
          <w:kern w:val="0"/>
          <w:szCs w:val="24"/>
        </w:rPr>
        <w:t>.</w:t>
      </w:r>
      <w:r w:rsidRPr="00C6719C">
        <w:rPr>
          <w:rFonts w:ascii="MnwdfkLjwccfNewAster" w:eastAsia="MnwdfkLjwccfNewAster" w:cs="MnwdfkLjwccfNewAster"/>
          <w:color w:val="000000"/>
          <w:kern w:val="0"/>
          <w:sz w:val="18"/>
          <w:szCs w:val="18"/>
          <w:highlight w:val="yellow"/>
        </w:rPr>
        <w:t>Auperin</w:t>
      </w:r>
      <w:r>
        <w:rPr>
          <w:rFonts w:ascii="MnwdfkLjwccfNewAster" w:eastAsia="MnwdfkLjwccfNewAster" w:cs="MnwdfkLjwccfNewAster"/>
          <w:color w:val="000000"/>
          <w:kern w:val="0"/>
          <w:sz w:val="18"/>
          <w:szCs w:val="18"/>
        </w:rPr>
        <w:t xml:space="preserve"> (</w:t>
      </w:r>
      <w:r>
        <w:rPr>
          <w:rFonts w:ascii="BpbxvtSxtjplNewAster-Italic" w:eastAsia="BpbxvtSxtjplNewAster-Italic" w:cs="BpbxvtSxtjplNewAster-Italic"/>
          <w:i/>
          <w:iCs/>
          <w:color w:val="000000"/>
          <w:kern w:val="0"/>
          <w:sz w:val="18"/>
          <w:szCs w:val="18"/>
        </w:rPr>
        <w:t xml:space="preserve">NEJM </w:t>
      </w:r>
      <w:r>
        <w:rPr>
          <w:rFonts w:ascii="MnwdfkLjwccfNewAster" w:eastAsia="MnwdfkLjwccfNewAster" w:cs="MnwdfkLjwccfNewAster"/>
          <w:color w:val="0000FB"/>
          <w:kern w:val="0"/>
          <w:sz w:val="18"/>
          <w:szCs w:val="18"/>
        </w:rPr>
        <w:t>1999</w:t>
      </w:r>
      <w:r>
        <w:rPr>
          <w:rFonts w:ascii="MnwdfkLjwccfNewAster" w:eastAsia="MnwdfkLjwccfNewAster" w:cs="MnwdfkLjwccfNewAster"/>
          <w:color w:val="000000"/>
          <w:kern w:val="0"/>
          <w:sz w:val="18"/>
          <w:szCs w:val="18"/>
        </w:rPr>
        <w:t xml:space="preserve">): </w:t>
      </w:r>
      <w:r w:rsidRPr="00C6719C">
        <w:rPr>
          <w:rFonts w:ascii="MnwdfkLjwccfNewAster" w:eastAsia="MnwdfkLjwccfNewAster" w:cs="MnwdfkLjwccfNewAster"/>
          <w:color w:val="000000"/>
          <w:kern w:val="0"/>
          <w:sz w:val="18"/>
          <w:szCs w:val="18"/>
          <w:highlight w:val="yellow"/>
        </w:rPr>
        <w:t>metaanalysis</w:t>
      </w:r>
      <w:r>
        <w:rPr>
          <w:rFonts w:ascii="MnwdfkLjwccfNewAster" w:eastAsia="MnwdfkLjwccfNewAster" w:cs="MnwdfkLjwccfNewAster"/>
          <w:color w:val="000000"/>
          <w:kern w:val="0"/>
          <w:sz w:val="18"/>
          <w:szCs w:val="18"/>
        </w:rPr>
        <w:t xml:space="preserve"> of seven trials of</w:t>
      </w:r>
      <w:r>
        <w:rPr>
          <w:rFonts w:ascii="MnwdfkLjwccfNewAster" w:eastAsia="MnwdfkLjwccfNewAster" w:cs="MnwdfkLjwccfNewAster" w:hint="eastAsia"/>
          <w:color w:val="000000"/>
          <w:kern w:val="0"/>
          <w:sz w:val="18"/>
          <w:szCs w:val="18"/>
        </w:rPr>
        <w:t xml:space="preserve"> </w:t>
      </w:r>
      <w:r>
        <w:rPr>
          <w:rFonts w:ascii="MnwdfkLjwccfNewAster" w:eastAsia="MnwdfkLjwccfNewAster" w:cs="MnwdfkLjwccfNewAster"/>
          <w:color w:val="000000"/>
          <w:kern w:val="0"/>
          <w:sz w:val="18"/>
          <w:szCs w:val="18"/>
        </w:rPr>
        <w:t>SCLC patients in CR comparing prophylactic cranial irradiation (PCI) vs. no PCI. PCI reduced the 3-year incidence of brain metastases (59 vs.33%) and increased 3-year OS (15.3 vs. 20.7). Neurocognitive function not assessed.</w:t>
      </w:r>
    </w:p>
    <w:p w:rsidR="00C6719C" w:rsidRDefault="00C6719C" w:rsidP="00C6719C">
      <w:pPr>
        <w:autoSpaceDE w:val="0"/>
        <w:autoSpaceDN w:val="0"/>
        <w:adjustRightInd w:val="0"/>
        <w:rPr>
          <w:rFonts w:ascii="WgspvqFsxpfkNewAster" w:eastAsia="WgspvqFsxpfkNewAster" w:cs="WgspvqFsxpfkNewAster"/>
          <w:color w:val="000000"/>
          <w:kern w:val="0"/>
          <w:sz w:val="18"/>
          <w:szCs w:val="18"/>
        </w:rPr>
      </w:pPr>
      <w:r>
        <w:rPr>
          <w:rFonts w:ascii="PnrrypFwdygnSTIXGeneral-Regular" w:eastAsia="PnrrypFwdygnSTIXGeneral-Regular" w:cs="PnrrypFwdygnSTIXGeneral-Regular"/>
          <w:color w:val="B3B3B3"/>
          <w:kern w:val="0"/>
          <w:szCs w:val="24"/>
        </w:rPr>
        <w:t>.</w:t>
      </w:r>
      <w:r w:rsidRPr="00C6719C">
        <w:rPr>
          <w:rFonts w:ascii="WgspvqFsxpfkNewAster" w:eastAsia="WgspvqFsxpfkNewAster" w:cs="WgspvqFsxpfkNewAster"/>
          <w:color w:val="000000"/>
          <w:kern w:val="0"/>
          <w:sz w:val="18"/>
          <w:szCs w:val="18"/>
          <w:highlight w:val="yellow"/>
        </w:rPr>
        <w:t>Auperin</w:t>
      </w:r>
      <w:r>
        <w:rPr>
          <w:rFonts w:ascii="WgspvqFsxpfkNewAster" w:eastAsia="WgspvqFsxpfkNewAster" w:cs="WgspvqFsxpfkNewAster"/>
          <w:color w:val="000000"/>
          <w:kern w:val="0"/>
          <w:sz w:val="18"/>
          <w:szCs w:val="18"/>
        </w:rPr>
        <w:t xml:space="preserve"> (JCO </w:t>
      </w:r>
      <w:r>
        <w:rPr>
          <w:rFonts w:ascii="WgspvqFsxpfkNewAster" w:eastAsia="WgspvqFsxpfkNewAster" w:cs="WgspvqFsxpfkNewAster"/>
          <w:color w:val="0000FB"/>
          <w:kern w:val="0"/>
          <w:sz w:val="18"/>
          <w:szCs w:val="18"/>
        </w:rPr>
        <w:t>2010</w:t>
      </w:r>
      <w:r>
        <w:rPr>
          <w:rFonts w:ascii="WgspvqFsxpfkNewAster" w:eastAsia="WgspvqFsxpfkNewAster" w:cs="WgspvqFsxpfkNewAster"/>
          <w:color w:val="000000"/>
          <w:kern w:val="0"/>
          <w:sz w:val="18"/>
          <w:szCs w:val="18"/>
        </w:rPr>
        <w:t xml:space="preserve">): </w:t>
      </w:r>
      <w:r w:rsidRPr="00C6719C">
        <w:rPr>
          <w:rFonts w:ascii="WgspvqFsxpfkNewAster" w:eastAsia="WgspvqFsxpfkNewAster" w:cs="WgspvqFsxpfkNewAster"/>
          <w:color w:val="000000"/>
          <w:kern w:val="0"/>
          <w:sz w:val="18"/>
          <w:szCs w:val="18"/>
          <w:highlight w:val="yellow"/>
        </w:rPr>
        <w:t>Meta-analysis</w:t>
      </w:r>
      <w:r>
        <w:rPr>
          <w:rFonts w:ascii="WgspvqFsxpfkNewAster" w:eastAsia="WgspvqFsxpfkNewAster" w:cs="WgspvqFsxpfkNewAster"/>
          <w:color w:val="000000"/>
          <w:kern w:val="0"/>
          <w:sz w:val="18"/>
          <w:szCs w:val="18"/>
        </w:rPr>
        <w:t xml:space="preserve"> of 1205 patients from six trials undergoing sequential vs concurrent chemo-RT. Sequential treatment improved 5-year OS (15% vs 10%) and 5-year PFS (16% vs 13%) at the cost of increased esophageal toxicity (grade 3+ esophagitis 18% vs 4%). No difference in pulmonary toxicity.</w:t>
      </w:r>
    </w:p>
    <w:p w:rsidR="00C6719C" w:rsidRDefault="00C6719C" w:rsidP="00C6719C">
      <w:pPr>
        <w:autoSpaceDE w:val="0"/>
        <w:autoSpaceDN w:val="0"/>
        <w:adjustRightInd w:val="0"/>
        <w:rPr>
          <w:rFonts w:ascii="WgspvqFsxpfkNewAster" w:eastAsia="WgspvqFsxpfkNewAster" w:cs="WgspvqFsxpfkNewAster"/>
          <w:color w:val="000000"/>
          <w:kern w:val="0"/>
          <w:sz w:val="18"/>
          <w:szCs w:val="18"/>
        </w:rPr>
      </w:pPr>
    </w:p>
    <w:p w:rsidR="00C6719C" w:rsidRDefault="00C6719C" w:rsidP="00C6719C">
      <w:pPr>
        <w:autoSpaceDE w:val="0"/>
        <w:autoSpaceDN w:val="0"/>
        <w:adjustRightInd w:val="0"/>
        <w:rPr>
          <w:rFonts w:ascii="MnwdfkLjwccfNewAster" w:eastAsia="MnwdfkLjwccfNewAster" w:cs="MnwdfkLjwccfNewAster"/>
          <w:color w:val="000000"/>
          <w:kern w:val="0"/>
          <w:sz w:val="18"/>
          <w:szCs w:val="18"/>
        </w:rPr>
      </w:pPr>
      <w:r w:rsidRPr="00C6719C">
        <w:rPr>
          <w:rFonts w:ascii="MnwdfkLjwccfNewAster" w:eastAsia="MnwdfkLjwccfNewAster" w:cs="MnwdfkLjwccfNewAster"/>
          <w:color w:val="000000"/>
          <w:kern w:val="0"/>
          <w:sz w:val="18"/>
          <w:szCs w:val="18"/>
          <w:highlight w:val="yellow"/>
        </w:rPr>
        <w:t>RTOG 0212</w:t>
      </w:r>
      <w:r>
        <w:rPr>
          <w:rFonts w:ascii="MnwdfkLjwccfNewAster" w:eastAsia="MnwdfkLjwccfNewAster" w:cs="MnwdfkLjwccfNewAster"/>
          <w:color w:val="000000"/>
          <w:kern w:val="0"/>
          <w:sz w:val="18"/>
          <w:szCs w:val="18"/>
        </w:rPr>
        <w:t xml:space="preserve">/Intergroup (Le Pechoux </w:t>
      </w:r>
      <w:r>
        <w:rPr>
          <w:rFonts w:ascii="BpbxvtSxtjplNewAster-Italic" w:eastAsia="BpbxvtSxtjplNewAster-Italic" w:cs="BpbxvtSxtjplNewAster-Italic"/>
          <w:i/>
          <w:iCs/>
          <w:color w:val="000000"/>
          <w:kern w:val="0"/>
          <w:sz w:val="18"/>
          <w:szCs w:val="18"/>
        </w:rPr>
        <w:t xml:space="preserve">Lancet </w:t>
      </w:r>
      <w:r>
        <w:rPr>
          <w:rFonts w:ascii="MnwdfkLjwccfNewAster" w:eastAsia="MnwdfkLjwccfNewAster" w:cs="MnwdfkLjwccfNewAster"/>
          <w:color w:val="0000FB"/>
          <w:kern w:val="0"/>
          <w:sz w:val="18"/>
          <w:szCs w:val="18"/>
        </w:rPr>
        <w:t>2009</w:t>
      </w:r>
      <w:r>
        <w:rPr>
          <w:rFonts w:ascii="MnwdfkLjwccfNewAster" w:eastAsia="MnwdfkLjwccfNewAster" w:cs="MnwdfkLjwccfNewAster"/>
          <w:color w:val="000000"/>
          <w:kern w:val="0"/>
          <w:sz w:val="18"/>
          <w:szCs w:val="18"/>
        </w:rPr>
        <w:t>): 720 LS-SCLC patients in CR to chemo-RT randomized to standard dose (25 Gy/2.5 Gy QD) vs. higher dose (36 Gy/2 Gy QD or 36 Gy/1.5 Gy b.i.d.) PCI. No significant difference in 2-year incidence of brains metastases. Reduced 2-year OS in higher dose group (37 vs. 42%) probably due to increased cancer-related mortality.</w:t>
      </w:r>
    </w:p>
    <w:p w:rsidR="00C6719C" w:rsidRDefault="00C6719C" w:rsidP="00C6719C">
      <w:pPr>
        <w:autoSpaceDE w:val="0"/>
        <w:autoSpaceDN w:val="0"/>
        <w:adjustRightInd w:val="0"/>
        <w:rPr>
          <w:rFonts w:ascii="MnwdfkLjwccfNewAster" w:eastAsia="MnwdfkLjwccfNewAster" w:cs="MnwdfkLjwccfNewAster"/>
          <w:color w:val="000000"/>
          <w:kern w:val="0"/>
          <w:sz w:val="18"/>
          <w:szCs w:val="18"/>
        </w:rPr>
      </w:pPr>
    </w:p>
    <w:p w:rsidR="00C6719C" w:rsidRDefault="00C6719C" w:rsidP="00C6719C">
      <w:pPr>
        <w:autoSpaceDE w:val="0"/>
        <w:autoSpaceDN w:val="0"/>
        <w:adjustRightInd w:val="0"/>
        <w:rPr>
          <w:rFonts w:ascii="Palatino-Italic" w:eastAsia="Palatino-Italic" w:cs="Palatino-Italic"/>
          <w:i/>
          <w:iCs/>
          <w:kern w:val="0"/>
          <w:sz w:val="18"/>
          <w:szCs w:val="18"/>
        </w:rPr>
      </w:pPr>
      <w:r>
        <w:rPr>
          <w:rFonts w:ascii="Palatino-Bold" w:eastAsia="Palatino-Bold" w:cs="Palatino-Bold"/>
          <w:b/>
          <w:bCs/>
          <w:kern w:val="0"/>
          <w:sz w:val="18"/>
          <w:szCs w:val="18"/>
        </w:rPr>
        <w:t xml:space="preserve">Takahashi, </w:t>
      </w:r>
      <w:r w:rsidRPr="00C6719C">
        <w:rPr>
          <w:rFonts w:ascii="Palatino-Bold" w:eastAsia="Palatino-Bold" w:cs="Palatino-Bold"/>
          <w:b/>
          <w:bCs/>
          <w:kern w:val="0"/>
          <w:sz w:val="18"/>
          <w:szCs w:val="18"/>
          <w:highlight w:val="yellow"/>
        </w:rPr>
        <w:t>Japanese</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Lancet Oncol </w:t>
      </w:r>
      <w:r>
        <w:rPr>
          <w:rFonts w:ascii="Palatino-Bold" w:eastAsia="Palatino-Bold" w:cs="Palatino-Bold"/>
          <w:b/>
          <w:bCs/>
          <w:kern w:val="0"/>
          <w:sz w:val="18"/>
          <w:szCs w:val="18"/>
        </w:rPr>
        <w:t xml:space="preserve">2017, PMID 28343976): </w:t>
      </w:r>
      <w:r>
        <w:rPr>
          <w:rFonts w:ascii="Palatino-Roman" w:eastAsia="Palatino-Roman" w:cs="Palatino-Roman"/>
          <w:kern w:val="0"/>
          <w:sz w:val="18"/>
          <w:szCs w:val="18"/>
        </w:rPr>
        <w:t xml:space="preserve">Phase III RCT of PCI in ES-SCLC including pts aged </w:t>
      </w:r>
      <w:r>
        <w:rPr>
          <w:rFonts w:ascii="Symbol" w:eastAsia="Palatino-Bold" w:hAnsi="Symbol" w:cs="Symbol"/>
          <w:kern w:val="0"/>
          <w:sz w:val="18"/>
          <w:szCs w:val="18"/>
        </w:rPr>
        <w:t>≥</w:t>
      </w:r>
      <w:r>
        <w:rPr>
          <w:rFonts w:ascii="Palatino-Roman" w:eastAsia="Palatino-Roman" w:cs="Palatino-Roman"/>
          <w:kern w:val="0"/>
          <w:sz w:val="18"/>
          <w:szCs w:val="18"/>
        </w:rPr>
        <w:t xml:space="preserve">20, PS 0-2, any response to platinum-based doublet CHT and no brain mets on MRI obtained within 4 weeks of PCI randomized to 25 Gy/10 fx versus no PCI. Post-PCI brain MRI was obtained at 3-month intervals up to 12 mos, at 18 mos and at 24 mos. Primary endpoint was OS. The trial was terminated early due to likely futility. </w:t>
      </w:r>
      <w:r>
        <w:rPr>
          <w:rFonts w:ascii="Palatino-Bold" w:eastAsia="Palatino-Bold" w:cs="Palatino-Bold"/>
          <w:b/>
          <w:bCs/>
          <w:kern w:val="0"/>
          <w:sz w:val="18"/>
          <w:szCs w:val="18"/>
        </w:rPr>
        <w:t xml:space="preserve">Conclusion: PCI does not improve OS in ES-SCLC in this prescreened population though does reduce the incidence of MRI-detected brain mets at all time points.  </w:t>
      </w:r>
      <w:r>
        <w:rPr>
          <w:rFonts w:ascii="Palatino-Italic" w:eastAsia="Palatino-Italic" w:cs="Palatino-Italic"/>
          <w:i/>
          <w:iCs/>
          <w:kern w:val="0"/>
          <w:sz w:val="18"/>
          <w:szCs w:val="18"/>
        </w:rPr>
        <w:lastRenderedPageBreak/>
        <w:t>Comment: Close MRI surveillance was performed and should be considered necessary to</w:t>
      </w:r>
    </w:p>
    <w:p w:rsidR="00C6719C" w:rsidRDefault="00C6719C" w:rsidP="00C6719C">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replicate results if PCI is omitted.</w:t>
      </w:r>
    </w:p>
    <w:p w:rsidR="00C6719C" w:rsidRDefault="00C6719C" w:rsidP="00C6719C">
      <w:pPr>
        <w:autoSpaceDE w:val="0"/>
        <w:autoSpaceDN w:val="0"/>
        <w:adjustRightInd w:val="0"/>
      </w:pPr>
      <w:r>
        <w:rPr>
          <w:noProof/>
        </w:rPr>
        <w:drawing>
          <wp:inline distT="0" distB="0" distL="0" distR="0" wp14:anchorId="3D39325A" wp14:editId="737E3260">
            <wp:extent cx="4791075" cy="106680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075" cy="1066800"/>
                    </a:xfrm>
                    <a:prstGeom prst="rect">
                      <a:avLst/>
                    </a:prstGeom>
                  </pic:spPr>
                </pic:pic>
              </a:graphicData>
            </a:graphic>
          </wp:inline>
        </w:drawing>
      </w:r>
    </w:p>
    <w:p w:rsidR="00C6719C" w:rsidRDefault="00C6719C" w:rsidP="00C6719C">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What dose of PCI should be delivered?</w:t>
      </w:r>
    </w:p>
    <w:p w:rsidR="00C6719C" w:rsidRDefault="00C6719C" w:rsidP="00C6719C">
      <w:pPr>
        <w:autoSpaceDE w:val="0"/>
        <w:autoSpaceDN w:val="0"/>
        <w:adjustRightInd w:val="0"/>
        <w:rPr>
          <w:rFonts w:ascii="Palatino-Roman" w:eastAsia="Palatino-Roman" w:cs="Palatino-Roman"/>
          <w:kern w:val="0"/>
          <w:sz w:val="10"/>
          <w:szCs w:val="10"/>
        </w:rPr>
      </w:pPr>
      <w:r>
        <w:rPr>
          <w:rFonts w:ascii="Palatino-Italic" w:eastAsia="Palatino-Italic" w:cs="Palatino-Italic"/>
          <w:i/>
          <w:iCs/>
          <w:kern w:val="0"/>
          <w:sz w:val="18"/>
          <w:szCs w:val="18"/>
        </w:rPr>
        <w:t>25 Gy/10 fx is standard. This was investigated in the EORTC/</w:t>
      </w:r>
      <w:r w:rsidRPr="00C6719C">
        <w:rPr>
          <w:rFonts w:ascii="Palatino-Italic" w:eastAsia="Palatino-Italic" w:cs="Palatino-Italic"/>
          <w:i/>
          <w:iCs/>
          <w:kern w:val="0"/>
          <w:sz w:val="18"/>
          <w:szCs w:val="18"/>
          <w:highlight w:val="yellow"/>
        </w:rPr>
        <w:t>RTOG 0212</w:t>
      </w:r>
      <w:r>
        <w:rPr>
          <w:rFonts w:ascii="Palatino-Italic" w:eastAsia="Palatino-Italic" w:cs="Palatino-Italic"/>
          <w:i/>
          <w:iCs/>
          <w:kern w:val="0"/>
          <w:sz w:val="18"/>
          <w:szCs w:val="18"/>
        </w:rPr>
        <w:t xml:space="preserve"> prospective randomized trial</w:t>
      </w:r>
      <w:r>
        <w:rPr>
          <w:rFonts w:ascii="Palatino-Roman" w:eastAsia="Palatino-Roman" w:cs="Palatino-Roman"/>
          <w:kern w:val="0"/>
          <w:sz w:val="10"/>
          <w:szCs w:val="10"/>
        </w:rPr>
        <w:t xml:space="preserve">39 </w:t>
      </w:r>
      <w:r>
        <w:rPr>
          <w:rFonts w:ascii="Palatino-Italic" w:eastAsia="Palatino-Italic" w:cs="Palatino-Italic"/>
          <w:i/>
          <w:iCs/>
          <w:kern w:val="0"/>
          <w:sz w:val="18"/>
          <w:szCs w:val="18"/>
        </w:rPr>
        <w:t>composed of three treatment arms: 25 Gy/10 fx, 36 Gy/18 fx QD, and 36 Gy/24 fx BID. Incidence of brain mets at 2 yrs was approximately 25% in all arms with no statistical difference.</w:t>
      </w:r>
      <w:r>
        <w:rPr>
          <w:rFonts w:ascii="Palatino-Roman" w:eastAsia="Palatino-Roman" w:cs="Palatino-Roman"/>
          <w:kern w:val="0"/>
          <w:sz w:val="10"/>
          <w:szCs w:val="10"/>
        </w:rPr>
        <w:t>40,4</w:t>
      </w:r>
    </w:p>
    <w:p w:rsidR="00C6719C" w:rsidRDefault="00C6719C" w:rsidP="00C6719C">
      <w:pPr>
        <w:autoSpaceDE w:val="0"/>
        <w:autoSpaceDN w:val="0"/>
        <w:adjustRightInd w:val="0"/>
        <w:rPr>
          <w:rFonts w:ascii="Palatino-Roman" w:eastAsia="Palatino-Roman" w:cs="Palatino-Roman"/>
          <w:kern w:val="0"/>
          <w:sz w:val="10"/>
          <w:szCs w:val="10"/>
        </w:rPr>
      </w:pPr>
    </w:p>
    <w:p w:rsidR="004E57F1" w:rsidRDefault="004E57F1" w:rsidP="004E57F1">
      <w:pPr>
        <w:autoSpaceDE w:val="0"/>
        <w:autoSpaceDN w:val="0"/>
        <w:adjustRightInd w:val="0"/>
        <w:rPr>
          <w:rFonts w:ascii="Palatino-Bold" w:eastAsia="Palatino-Bold" w:cs="Palatino-Bold"/>
          <w:b/>
          <w:bCs/>
          <w:kern w:val="0"/>
          <w:sz w:val="18"/>
          <w:szCs w:val="18"/>
        </w:rPr>
      </w:pPr>
      <w:bookmarkStart w:id="0" w:name="_GoBack"/>
      <w:bookmarkEnd w:id="0"/>
      <w:r>
        <w:rPr>
          <w:rFonts w:ascii="Palatino-Bold" w:eastAsia="Palatino-Bold" w:cs="Palatino-Bold"/>
          <w:b/>
          <w:bCs/>
          <w:kern w:val="0"/>
          <w:sz w:val="18"/>
          <w:szCs w:val="18"/>
        </w:rPr>
        <w:t>What is the ideal dose and fractionation for LS-SCLC?</w:t>
      </w:r>
    </w:p>
    <w:p w:rsidR="004E57F1" w:rsidRDefault="004E57F1" w:rsidP="004E57F1">
      <w:pPr>
        <w:autoSpaceDE w:val="0"/>
        <w:autoSpaceDN w:val="0"/>
        <w:adjustRightInd w:val="0"/>
        <w:rPr>
          <w:rFonts w:ascii="NckjbtRpdkxwNewAster" w:eastAsia="NckjbtRpdkxwNewAster" w:cs="NckjbtRpdkxwNewAster"/>
          <w:color w:val="000000"/>
          <w:kern w:val="0"/>
          <w:sz w:val="18"/>
          <w:szCs w:val="18"/>
        </w:rPr>
      </w:pPr>
      <w:r>
        <w:rPr>
          <w:rFonts w:ascii="Palatino-Italic" w:eastAsia="Palatino-Italic" w:cs="Palatino-Italic"/>
          <w:i/>
          <w:iCs/>
          <w:kern w:val="0"/>
          <w:sz w:val="18"/>
          <w:szCs w:val="18"/>
        </w:rPr>
        <w:t>There are varying practices, but 45 Gy BID regimen defi ned by Turrisi</w:t>
      </w:r>
      <w:r>
        <w:rPr>
          <w:rFonts w:ascii="Palatino-Italic" w:eastAsia="Palatino-Italic" w:cs="Palatino-Italic" w:hint="eastAsia"/>
          <w:i/>
          <w:iCs/>
          <w:kern w:val="0"/>
          <w:sz w:val="18"/>
          <w:szCs w:val="18"/>
        </w:rPr>
        <w:t>’</w:t>
      </w:r>
      <w:r>
        <w:rPr>
          <w:rFonts w:ascii="Palatino-Italic" w:eastAsia="Palatino-Italic" w:cs="Palatino-Italic"/>
          <w:i/>
          <w:iCs/>
          <w:kern w:val="0"/>
          <w:sz w:val="18"/>
          <w:szCs w:val="18"/>
        </w:rPr>
        <w:t>s Intergroup trial is the current standard of care.</w:t>
      </w:r>
      <w:r>
        <w:rPr>
          <w:rFonts w:ascii="Palatino-Roman" w:eastAsia="Palatino-Roman" w:cs="Palatino-Roman"/>
          <w:kern w:val="0"/>
          <w:sz w:val="10"/>
          <w:szCs w:val="10"/>
        </w:rPr>
        <w:t xml:space="preserve">29 </w:t>
      </w:r>
      <w:r>
        <w:rPr>
          <w:rFonts w:ascii="Palatino-Italic" w:eastAsia="Palatino-Italic" w:cs="Palatino-Italic"/>
          <w:i/>
          <w:iCs/>
          <w:kern w:val="0"/>
          <w:sz w:val="18"/>
          <w:szCs w:val="18"/>
        </w:rPr>
        <w:t xml:space="preserve">A more recent trial, RTOG 0239, was phase II whose goal was to determine whether 61.2 Gy/34 fx delivered via daily fractionation for fi rst 22 days followed by BID treatments for last 9 days would improve outcomes. Given ongoing controversy, however, there are two recent phase III trials (EORTC </w:t>
      </w:r>
      <w:r w:rsidRPr="004E57F1">
        <w:rPr>
          <w:rFonts w:ascii="Palatino-Italic" w:eastAsia="Palatino-Italic" w:cs="Palatino-Italic"/>
          <w:i/>
          <w:iCs/>
          <w:kern w:val="0"/>
          <w:sz w:val="18"/>
          <w:szCs w:val="18"/>
          <w:highlight w:val="yellow"/>
        </w:rPr>
        <w:t>CONVERT trial</w:t>
      </w:r>
      <w:r>
        <w:rPr>
          <w:rFonts w:ascii="Palatino-Italic" w:eastAsia="Palatino-Italic" w:cs="Palatino-Italic"/>
          <w:i/>
          <w:iCs/>
          <w:kern w:val="0"/>
          <w:sz w:val="18"/>
          <w:szCs w:val="18"/>
        </w:rPr>
        <w:t xml:space="preserve"> and </w:t>
      </w:r>
      <w:r w:rsidRPr="004E57F1">
        <w:rPr>
          <w:rFonts w:ascii="Palatino-Italic" w:eastAsia="Palatino-Italic" w:cs="Palatino-Italic"/>
          <w:i/>
          <w:iCs/>
          <w:kern w:val="0"/>
          <w:sz w:val="18"/>
          <w:szCs w:val="18"/>
          <w:highlight w:val="yellow"/>
        </w:rPr>
        <w:t>RTOG 0538)</w:t>
      </w:r>
      <w:r>
        <w:rPr>
          <w:rFonts w:ascii="Palatino-Italic" w:eastAsia="Palatino-Italic" w:cs="Palatino-Italic"/>
          <w:i/>
          <w:iCs/>
          <w:kern w:val="0"/>
          <w:sz w:val="18"/>
          <w:szCs w:val="18"/>
        </w:rPr>
        <w:t xml:space="preserve"> investigating optimal dose and fractionation. CONVERT is completed with results as follows; RTOG 0538 is still enrolling.</w:t>
      </w:r>
    </w:p>
    <w:p w:rsidR="004E57F1" w:rsidRDefault="004E57F1" w:rsidP="00A421C4">
      <w:pPr>
        <w:autoSpaceDE w:val="0"/>
        <w:autoSpaceDN w:val="0"/>
        <w:adjustRightInd w:val="0"/>
        <w:rPr>
          <w:rFonts w:ascii="NckjbtRpdkxwNewAster" w:eastAsia="NckjbtRpdkxwNewAster" w:cs="NckjbtRpdkxwNewAster"/>
          <w:color w:val="000000"/>
          <w:kern w:val="0"/>
          <w:sz w:val="18"/>
          <w:szCs w:val="18"/>
        </w:rPr>
      </w:pPr>
    </w:p>
    <w:p w:rsidR="00A421C4" w:rsidRDefault="00A421C4" w:rsidP="00A421C4">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t xml:space="preserve">Turrisi, </w:t>
      </w:r>
      <w:r w:rsidRPr="004E57F1">
        <w:rPr>
          <w:rFonts w:ascii="Palatino-Bold" w:eastAsia="Palatino-Bold" w:cs="Palatino-Bold"/>
          <w:b/>
          <w:bCs/>
          <w:kern w:val="0"/>
          <w:sz w:val="18"/>
          <w:szCs w:val="18"/>
          <w:highlight w:val="yellow"/>
        </w:rPr>
        <w:t>RTOG 88-15</w:t>
      </w:r>
      <w:r>
        <w:rPr>
          <w:rFonts w:ascii="Palatino-Bold" w:eastAsia="Palatino-Bold" w:cs="Palatino-Bold"/>
          <w:b/>
          <w:bCs/>
          <w:kern w:val="0"/>
          <w:sz w:val="18"/>
          <w:szCs w:val="18"/>
        </w:rPr>
        <w:t>/INT 0096 (</w:t>
      </w:r>
      <w:r>
        <w:rPr>
          <w:rFonts w:ascii="Palatino-BoldItalic" w:eastAsia="Palatino-BoldItalic" w:cs="Palatino-BoldItalic"/>
          <w:b/>
          <w:bCs/>
          <w:i/>
          <w:iCs/>
          <w:kern w:val="0"/>
          <w:sz w:val="18"/>
          <w:szCs w:val="18"/>
        </w:rPr>
        <w:t xml:space="preserve">NEJM </w:t>
      </w:r>
      <w:r>
        <w:rPr>
          <w:rFonts w:ascii="Palatino-Bold" w:eastAsia="Palatino-Bold" w:cs="Palatino-Bold"/>
          <w:b/>
          <w:bCs/>
          <w:kern w:val="0"/>
          <w:sz w:val="18"/>
          <w:szCs w:val="18"/>
        </w:rPr>
        <w:t xml:space="preserve">1999, PMID 9920950): </w:t>
      </w:r>
      <w:r>
        <w:rPr>
          <w:rFonts w:ascii="Palatino-Roman" w:eastAsia="Palatino-Roman" w:cs="Palatino-Roman"/>
          <w:kern w:val="0"/>
          <w:sz w:val="18"/>
          <w:szCs w:val="18"/>
        </w:rPr>
        <w:t>Phase III PRT of 417 pts treated with concurrent CHT and either daily or BID radiation. CHT was 60 mg/m</w:t>
      </w:r>
      <w:r>
        <w:rPr>
          <w:rFonts w:ascii="Palatino-Roman" w:eastAsia="Palatino-Roman" w:cs="Palatino-Roman"/>
          <w:kern w:val="0"/>
          <w:sz w:val="10"/>
          <w:szCs w:val="10"/>
        </w:rPr>
        <w:t xml:space="preserve">2 </w:t>
      </w:r>
      <w:r>
        <w:rPr>
          <w:rFonts w:ascii="Palatino-Roman" w:eastAsia="Palatino-Roman" w:cs="Palatino-Roman"/>
          <w:kern w:val="0"/>
          <w:sz w:val="18"/>
          <w:szCs w:val="18"/>
        </w:rPr>
        <w:t>cisplatin on day 1 and 120 mg/m</w:t>
      </w:r>
      <w:r>
        <w:rPr>
          <w:rFonts w:ascii="Palatino-Roman" w:eastAsia="Palatino-Roman" w:cs="Palatino-Roman"/>
          <w:kern w:val="0"/>
          <w:sz w:val="10"/>
          <w:szCs w:val="10"/>
        </w:rPr>
        <w:t xml:space="preserve">2 </w:t>
      </w:r>
      <w:r>
        <w:rPr>
          <w:rFonts w:ascii="Palatino-Roman" w:eastAsia="Palatino-Roman" w:cs="Palatino-Roman"/>
          <w:kern w:val="0"/>
          <w:sz w:val="18"/>
          <w:szCs w:val="18"/>
        </w:rPr>
        <w:t>etoposide on days 1 to 3 every 3 weeks for four cycles. RT was started on day 1 of CHT and was based on University of Pennsylvania RT technique reported in 1988.</w:t>
      </w:r>
      <w:r>
        <w:rPr>
          <w:rFonts w:ascii="Palatino-Roman" w:eastAsia="Palatino-Roman" w:cs="Palatino-Roman"/>
          <w:kern w:val="0"/>
          <w:sz w:val="10"/>
          <w:szCs w:val="10"/>
        </w:rPr>
        <w:t xml:space="preserve">34 </w:t>
      </w:r>
      <w:r>
        <w:rPr>
          <w:rFonts w:ascii="Palatino-Roman" w:eastAsia="Palatino-Roman" w:cs="Palatino-Roman"/>
          <w:kern w:val="0"/>
          <w:sz w:val="18"/>
          <w:szCs w:val="18"/>
        </w:rPr>
        <w:t xml:space="preserve">RT dose was 45 Gy/25 fx in 5 weeks at 1.8 Gy/fx daily versus 45 Gy/30 fx in 3 weeks at 1.5 Gy/fx BID. Fields taken off cord at 36 Gy. Pts with CR received PCI 25 Gy/10 fx. Note that there was 60% to 70% risk of esophagitis in the subgroup of pts age &gt;70 so altering dose for elderly pts may be important. </w:t>
      </w:r>
      <w:r>
        <w:rPr>
          <w:rFonts w:ascii="Palatino-Bold" w:eastAsia="Palatino-Bold" w:cs="Palatino-Bold"/>
          <w:b/>
          <w:bCs/>
          <w:kern w:val="0"/>
          <w:sz w:val="18"/>
          <w:szCs w:val="18"/>
        </w:rPr>
        <w:t xml:space="preserve">Conclusion: BID fractionation signifi - cantly improved OS, though with higher acute grade 3 esophageal toxicity but not late toxicity. </w:t>
      </w:r>
      <w:r>
        <w:rPr>
          <w:rFonts w:ascii="Palatino-Italic" w:eastAsia="Palatino-Italic" w:cs="Palatino-Italic"/>
          <w:i/>
          <w:iCs/>
          <w:kern w:val="0"/>
          <w:sz w:val="18"/>
          <w:szCs w:val="18"/>
        </w:rPr>
        <w:t>Comment: Employing 45 Gy/25 fx as standard arm may represent suboptimal dose given that this represents low BED for pts with gross disease. Also, experimental arm tested two additional variables: (a) decreased time between doses; and (b) fi nishing treatment in shorter period of time</w:t>
      </w:r>
      <w:r>
        <w:rPr>
          <w:rFonts w:ascii="Palatino-Italic" w:eastAsia="Palatino-Italic" w:cs="Palatino-Italic" w:hint="eastAsia"/>
          <w:i/>
          <w:iCs/>
          <w:kern w:val="0"/>
          <w:sz w:val="18"/>
          <w:szCs w:val="18"/>
        </w:rPr>
        <w:t>—</w:t>
      </w:r>
      <w:r>
        <w:rPr>
          <w:rFonts w:ascii="Palatino-Italic" w:eastAsia="Palatino-Italic" w:cs="Palatino-Italic"/>
          <w:i/>
          <w:iCs/>
          <w:kern w:val="0"/>
          <w:sz w:val="18"/>
          <w:szCs w:val="18"/>
        </w:rPr>
        <w:t>both of which may have independently improved outcome</w:t>
      </w:r>
      <w:r>
        <w:rPr>
          <w:rFonts w:ascii="Palatino-Roman" w:eastAsia="Palatino-Roman" w:cs="Palatino-Roman"/>
          <w:kern w:val="0"/>
          <w:sz w:val="18"/>
          <w:szCs w:val="18"/>
        </w:rPr>
        <w:t>s.</w:t>
      </w:r>
    </w:p>
    <w:p w:rsidR="00A421C4" w:rsidRDefault="00A421C4" w:rsidP="00A421C4">
      <w:pPr>
        <w:autoSpaceDE w:val="0"/>
        <w:autoSpaceDN w:val="0"/>
        <w:adjustRightInd w:val="0"/>
        <w:rPr>
          <w:rFonts w:ascii="Palatino-Bold" w:eastAsia="Palatino-Bold" w:cs="Palatino-Bold"/>
          <w:b/>
          <w:bCs/>
          <w:kern w:val="0"/>
          <w:sz w:val="18"/>
          <w:szCs w:val="18"/>
        </w:rPr>
      </w:pPr>
      <w:r>
        <w:rPr>
          <w:noProof/>
        </w:rPr>
        <w:drawing>
          <wp:inline distT="0" distB="0" distL="0" distR="0" wp14:anchorId="491D3CFE" wp14:editId="34E1282D">
            <wp:extent cx="4733925" cy="1123950"/>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3925" cy="1123950"/>
                    </a:xfrm>
                    <a:prstGeom prst="rect">
                      <a:avLst/>
                    </a:prstGeom>
                  </pic:spPr>
                </pic:pic>
              </a:graphicData>
            </a:graphic>
          </wp:inline>
        </w:drawing>
      </w:r>
    </w:p>
    <w:p w:rsidR="00A421C4" w:rsidRDefault="00A421C4" w:rsidP="00A421C4">
      <w:pPr>
        <w:autoSpaceDE w:val="0"/>
        <w:autoSpaceDN w:val="0"/>
        <w:adjustRightInd w:val="0"/>
        <w:rPr>
          <w:rFonts w:ascii="Palatino-Bold" w:eastAsia="Palatino-Bold" w:cs="Palatino-Bold"/>
          <w:b/>
          <w:bCs/>
          <w:kern w:val="0"/>
          <w:sz w:val="18"/>
          <w:szCs w:val="18"/>
        </w:rPr>
      </w:pPr>
    </w:p>
    <w:p w:rsidR="00A421C4" w:rsidRDefault="00A421C4" w:rsidP="00A421C4">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Radiation</w:t>
      </w:r>
    </w:p>
    <w:p w:rsidR="00A421C4" w:rsidRDefault="00A421C4" w:rsidP="00A421C4">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Indications: </w:t>
      </w:r>
      <w:r>
        <w:rPr>
          <w:rFonts w:ascii="Palatino-Roman" w:eastAsia="Palatino-Roman" w:cs="Palatino-Roman"/>
          <w:kern w:val="0"/>
          <w:sz w:val="18"/>
          <w:szCs w:val="18"/>
        </w:rPr>
        <w:t>Radiation, when added to CHT, was found to reduce intrathoracic failures by 50% (from 75%</w:t>
      </w:r>
      <w:r>
        <w:rPr>
          <w:rFonts w:ascii="Palatino-Roman" w:eastAsia="Palatino-Roman" w:cs="Palatino-Roman" w:hint="eastAsia"/>
          <w:kern w:val="0"/>
          <w:sz w:val="18"/>
          <w:szCs w:val="18"/>
        </w:rPr>
        <w:t>–</w:t>
      </w:r>
      <w:r>
        <w:rPr>
          <w:rFonts w:ascii="Palatino-Roman" w:eastAsia="Palatino-Roman" w:cs="Palatino-Roman"/>
          <w:kern w:val="0"/>
          <w:sz w:val="18"/>
          <w:szCs w:val="18"/>
        </w:rPr>
        <w:t>90% to 30%</w:t>
      </w:r>
      <w:r>
        <w:rPr>
          <w:rFonts w:ascii="Palatino-Roman" w:eastAsia="Palatino-Roman" w:cs="Palatino-Roman" w:hint="eastAsia"/>
          <w:kern w:val="0"/>
          <w:sz w:val="18"/>
          <w:szCs w:val="18"/>
        </w:rPr>
        <w:t>–</w:t>
      </w:r>
      <w:r>
        <w:rPr>
          <w:rFonts w:ascii="Palatino-Roman" w:eastAsia="Palatino-Roman" w:cs="Palatino-Roman"/>
          <w:kern w:val="0"/>
          <w:sz w:val="18"/>
          <w:szCs w:val="18"/>
        </w:rPr>
        <w:t xml:space="preserve">60%). RT also improves survival by 5.4% at 2 to 3 yrs (see </w:t>
      </w:r>
      <w:r>
        <w:rPr>
          <w:rFonts w:ascii="Palatino-Italic" w:eastAsia="Palatino-Italic" w:cs="Palatino-Italic"/>
          <w:i/>
          <w:iCs/>
          <w:kern w:val="0"/>
          <w:sz w:val="18"/>
          <w:szCs w:val="18"/>
        </w:rPr>
        <w:t xml:space="preserve">Warde </w:t>
      </w:r>
      <w:r>
        <w:rPr>
          <w:rFonts w:ascii="Palatino-Roman" w:eastAsia="Palatino-Roman" w:cs="Palatino-Roman"/>
          <w:kern w:val="0"/>
          <w:sz w:val="18"/>
          <w:szCs w:val="18"/>
        </w:rPr>
        <w:t xml:space="preserve">and </w:t>
      </w:r>
      <w:r>
        <w:rPr>
          <w:rFonts w:ascii="Palatino-Italic" w:eastAsia="Palatino-Italic" w:cs="Palatino-Italic"/>
          <w:i/>
          <w:iCs/>
          <w:kern w:val="0"/>
          <w:sz w:val="18"/>
          <w:szCs w:val="18"/>
        </w:rPr>
        <w:t xml:space="preserve">Pignon </w:t>
      </w:r>
      <w:r>
        <w:rPr>
          <w:rFonts w:ascii="Palatino-Roman" w:eastAsia="Palatino-Roman" w:cs="Palatino-Roman"/>
          <w:kern w:val="0"/>
          <w:sz w:val="18"/>
          <w:szCs w:val="18"/>
        </w:rPr>
        <w:t xml:space="preserve">in the following). For regimens using EP, concurrent chemoRT appears superior to sequential. Advantages of concurrent chemoRT: early use of both treatment modalities, more accurate RT planning, high-intensity treatment in short time, and radiosensitization of tumor. Main disadvantage is higher tissue toxicity (esophagitis, pneumonitis, myelosuppression), potentially leading to treatment breaks or discontinuation. Most studies have demonstrated benefi t to early RT with CHT cycles 1 and 2. </w:t>
      </w:r>
      <w:r>
        <w:rPr>
          <w:rFonts w:ascii="Palatino-Roman" w:eastAsia="Palatino-Roman" w:cs="Palatino-Roman"/>
          <w:kern w:val="0"/>
          <w:sz w:val="18"/>
          <w:szCs w:val="18"/>
        </w:rPr>
        <w:lastRenderedPageBreak/>
        <w:t>LS-SCLC pts who have complete response or good partial response to primary therapy (and ES-SCLC with any response to CHT) should be treated with PCI to 25 Gy/10 fx, as this reduces incidence of brain metastases and improves OS (see Auperin meta-analysis). Of note, SBRT may have a role similar to surgery in well-selected early-stage pts. A 2017 multi-institution RR demonstrated excellent 3-yr LC (</w:t>
      </w:r>
      <w:r>
        <w:rPr>
          <w:rFonts w:ascii="Symbol" w:eastAsia="Palatino-Bold" w:hAnsi="Symbol" w:cs="Symbol"/>
          <w:kern w:val="0"/>
          <w:sz w:val="18"/>
          <w:szCs w:val="18"/>
        </w:rPr>
        <w:t>≥</w:t>
      </w:r>
      <w:r>
        <w:rPr>
          <w:rFonts w:ascii="Palatino-Roman" w:eastAsia="Palatino-Roman" w:cs="Palatino-Roman"/>
          <w:kern w:val="0"/>
          <w:sz w:val="18"/>
          <w:szCs w:val="18"/>
        </w:rPr>
        <w:t>95%) for 74 T1-2N0 pts treated with SBRT.</w:t>
      </w:r>
      <w:r>
        <w:rPr>
          <w:rFonts w:ascii="Palatino-Roman" w:eastAsia="Palatino-Roman" w:cs="Palatino-Roman"/>
          <w:kern w:val="0"/>
          <w:sz w:val="10"/>
          <w:szCs w:val="10"/>
        </w:rPr>
        <w:t xml:space="preserve">28 </w:t>
      </w:r>
      <w:r>
        <w:rPr>
          <w:rFonts w:ascii="Palatino-Roman" w:eastAsia="Palatino-Roman" w:cs="Palatino-Roman"/>
          <w:kern w:val="0"/>
          <w:sz w:val="18"/>
          <w:szCs w:val="18"/>
        </w:rPr>
        <w:t xml:space="preserve">This series also showed improved OS in those who also received subsequent CHT (31 vs. 14 mos, </w:t>
      </w:r>
      <w:r>
        <w:rPr>
          <w:rFonts w:ascii="Palatino-Italic" w:eastAsia="Palatino-Italic" w:cs="Palatino-Italic"/>
          <w:i/>
          <w:iCs/>
          <w:kern w:val="0"/>
          <w:sz w:val="18"/>
          <w:szCs w:val="18"/>
        </w:rPr>
        <w:t xml:space="preserve">p </w:t>
      </w:r>
      <w:r>
        <w:rPr>
          <w:rFonts w:ascii="Palatino-Roman" w:eastAsia="Palatino-Roman" w:cs="Palatino-Roman"/>
          <w:kern w:val="0"/>
          <w:sz w:val="18"/>
          <w:szCs w:val="18"/>
        </w:rPr>
        <w:t>= .02). Following thoracic treatment, PCI 25 Gy/10 fx should be given to all LS-SCLC pts who respond to chemoRT with many also advocating delivery of PCI to those with ES-SCLC without brain mets at diagnosis who respond to initial CHT.</w:t>
      </w:r>
    </w:p>
    <w:p w:rsidR="00A421C4" w:rsidRDefault="00A421C4" w:rsidP="00A421C4">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Dose: </w:t>
      </w:r>
      <w:r>
        <w:rPr>
          <w:rFonts w:ascii="Palatino-Roman" w:eastAsia="Palatino-Roman" w:cs="Palatino-Roman"/>
          <w:kern w:val="0"/>
          <w:sz w:val="18"/>
          <w:szCs w:val="18"/>
        </w:rPr>
        <w:t>Standard accelerated dose is 45 Gy/30 fx at 1.5 Gy/fx BID in 3 weeks with concurrent EP CHT based on results from the landmark Turrisi trial.</w:t>
      </w:r>
      <w:r>
        <w:rPr>
          <w:rFonts w:ascii="Palatino-Roman" w:eastAsia="Palatino-Roman" w:cs="Palatino-Roman"/>
          <w:kern w:val="0"/>
          <w:sz w:val="10"/>
          <w:szCs w:val="10"/>
        </w:rPr>
        <w:t xml:space="preserve">29 </w:t>
      </w:r>
      <w:r>
        <w:rPr>
          <w:rFonts w:ascii="Palatino-Roman" w:eastAsia="Palatino-Roman" w:cs="Palatino-Roman"/>
          <w:kern w:val="0"/>
          <w:sz w:val="18"/>
          <w:szCs w:val="18"/>
        </w:rPr>
        <w:t>Proposed radiobiological advantages of BID fx in SCLC include high growth fraction, short cell cycle time and small/absent shoulder on cell survival curve. Cycle 2 start RT dose can be utilized when delivering 40 Gy/15 fx at 2.67 Gy/fx.</w:t>
      </w:r>
      <w:r>
        <w:rPr>
          <w:rFonts w:ascii="Palatino-Roman" w:eastAsia="Palatino-Roman" w:cs="Palatino-Roman"/>
          <w:kern w:val="0"/>
          <w:sz w:val="10"/>
          <w:szCs w:val="10"/>
        </w:rPr>
        <w:t xml:space="preserve">30 </w:t>
      </w:r>
      <w:r>
        <w:rPr>
          <w:rFonts w:ascii="Palatino-Roman" w:eastAsia="Palatino-Roman" w:cs="Palatino-Roman"/>
          <w:kern w:val="0"/>
          <w:sz w:val="18"/>
          <w:szCs w:val="18"/>
        </w:rPr>
        <w:t>Although many argue that BID fractionation is standard of care based on Turrisi</w:t>
      </w:r>
      <w:r>
        <w:rPr>
          <w:rFonts w:ascii="Palatino-Roman" w:eastAsia="Palatino-Roman" w:cs="Palatino-Roman" w:hint="eastAsia"/>
          <w:kern w:val="0"/>
          <w:sz w:val="18"/>
          <w:szCs w:val="18"/>
        </w:rPr>
        <w:t>’</w:t>
      </w:r>
      <w:r>
        <w:rPr>
          <w:rFonts w:ascii="Palatino-Roman" w:eastAsia="Palatino-Roman" w:cs="Palatino-Roman"/>
          <w:kern w:val="0"/>
          <w:sz w:val="18"/>
          <w:szCs w:val="18"/>
        </w:rPr>
        <w:t xml:space="preserve">s fi ndings (supported by </w:t>
      </w:r>
      <w:r w:rsidRPr="004E57F1">
        <w:rPr>
          <w:rFonts w:ascii="Palatino-Roman" w:eastAsia="Palatino-Roman" w:cs="Palatino-Roman"/>
          <w:kern w:val="0"/>
          <w:sz w:val="18"/>
          <w:szCs w:val="18"/>
          <w:highlight w:val="yellow"/>
        </w:rPr>
        <w:t>CONVERT trial</w:t>
      </w:r>
      <w:r>
        <w:rPr>
          <w:rFonts w:ascii="Palatino-Roman" w:eastAsia="Palatino-Roman" w:cs="Palatino-Roman"/>
          <w:kern w:val="0"/>
          <w:sz w:val="18"/>
          <w:szCs w:val="18"/>
        </w:rPr>
        <w:t xml:space="preserve"> below), a 2003 patterns of care practice survey found that fewer than 10% of clinicians employ BID RT approach, with &gt;80% of pts receiving daily RT to a median dose of 50.4 Gy.</w:t>
      </w:r>
      <w:r>
        <w:rPr>
          <w:rFonts w:ascii="Palatino-Roman" w:eastAsia="Palatino-Roman" w:cs="Palatino-Roman"/>
          <w:kern w:val="0"/>
          <w:sz w:val="10"/>
          <w:szCs w:val="10"/>
        </w:rPr>
        <w:t xml:space="preserve">31 </w:t>
      </w:r>
      <w:r>
        <w:rPr>
          <w:rFonts w:ascii="Palatino-Roman" w:eastAsia="Palatino-Roman" w:cs="Palatino-Roman"/>
          <w:kern w:val="0"/>
          <w:sz w:val="18"/>
          <w:szCs w:val="18"/>
        </w:rPr>
        <w:t xml:space="preserve">NCCN states that if daily fractionation is used, 60 to 70 Gy should be given (not based on level 1 evidence). Once complete, results from </w:t>
      </w:r>
      <w:r w:rsidRPr="00A421C4">
        <w:rPr>
          <w:rFonts w:ascii="Palatino-Roman" w:eastAsia="Palatino-Roman" w:cs="Palatino-Roman"/>
          <w:kern w:val="0"/>
          <w:sz w:val="18"/>
          <w:szCs w:val="18"/>
          <w:highlight w:val="yellow"/>
        </w:rPr>
        <w:t>RTOG 0538</w:t>
      </w:r>
      <w:r>
        <w:rPr>
          <w:rFonts w:ascii="Palatino-Roman" w:eastAsia="Palatino-Roman" w:cs="Palatino-Roman"/>
          <w:kern w:val="0"/>
          <w:sz w:val="18"/>
          <w:szCs w:val="18"/>
        </w:rPr>
        <w:t xml:space="preserve"> will provide additional data regarding outcomes of BID versus daily</w:t>
      </w:r>
      <w:r>
        <w:rPr>
          <w:rFonts w:ascii="Palatino-Roman" w:eastAsia="Palatino-Roman" w:cs="Palatino-Roman" w:hint="eastAsia"/>
          <w:kern w:val="0"/>
          <w:sz w:val="18"/>
          <w:szCs w:val="18"/>
        </w:rPr>
        <w:t>—</w:t>
      </w:r>
      <w:r>
        <w:rPr>
          <w:rFonts w:ascii="Palatino-Roman" w:eastAsia="Palatino-Roman" w:cs="Palatino-Roman"/>
          <w:kern w:val="0"/>
          <w:sz w:val="18"/>
          <w:szCs w:val="18"/>
        </w:rPr>
        <w:t>albeit using higher dose RT (70 Gy/35 fx per RTOG 0538; 66 Gy/33 fx per CONVERT).</w:t>
      </w:r>
    </w:p>
    <w:p w:rsidR="00A421C4" w:rsidRDefault="00A421C4" w:rsidP="00A421C4">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Toxicity</w:t>
      </w:r>
    </w:p>
    <w:p w:rsidR="00A421C4" w:rsidRDefault="00A421C4" w:rsidP="00A421C4">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Acute: Fatigue, esophagitis, pneumonitis, nausea. Chronic: Pneumonitis, cardiac injury,</w:t>
      </w:r>
    </w:p>
    <w:p w:rsidR="00A421C4" w:rsidRDefault="00A421C4" w:rsidP="00A421C4">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dysphagia.</w:t>
      </w:r>
    </w:p>
    <w:p w:rsidR="00A421C4" w:rsidRDefault="00A421C4" w:rsidP="00A421C4">
      <w:pPr>
        <w:autoSpaceDE w:val="0"/>
        <w:autoSpaceDN w:val="0"/>
        <w:adjustRightInd w:val="0"/>
        <w:rPr>
          <w:rFonts w:ascii="Palatino-Roman" w:eastAsia="Palatino-Roman" w:cs="Palatino-Roman"/>
          <w:kern w:val="0"/>
          <w:sz w:val="18"/>
          <w:szCs w:val="18"/>
        </w:rPr>
      </w:pPr>
    </w:p>
    <w:p w:rsidR="00A421C4" w:rsidRDefault="00A421C4" w:rsidP="00A421C4">
      <w:pPr>
        <w:autoSpaceDE w:val="0"/>
        <w:autoSpaceDN w:val="0"/>
        <w:adjustRightInd w:val="0"/>
        <w:rPr>
          <w:rFonts w:ascii="Palatino-Bold" w:eastAsia="Palatino-Bold" w:cs="Palatino-Bold"/>
          <w:b/>
          <w:bCs/>
          <w:kern w:val="0"/>
          <w:sz w:val="18"/>
          <w:szCs w:val="18"/>
        </w:rPr>
      </w:pPr>
    </w:p>
    <w:p w:rsidR="004E57F1" w:rsidRDefault="004E57F1" w:rsidP="004E57F1">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Should elective nodal volumes be included in the CTV?</w:t>
      </w:r>
    </w:p>
    <w:p w:rsidR="00A421C4" w:rsidRDefault="004E57F1" w:rsidP="004E57F1">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In setting of recent imaging advances (both contrast enhanced CT and PET/CT), omission of ENI has led to low rates of isolated nodal failure (&lt;5%) as evidenced by several studies. However, nearly all of trials in SCLC treated both gross and elective volumes; this is in contrast to NSCLC in which treating only PET-positive disease has been adopted as standard. Thus, it is still controversial whether or not only PET-positive disease is covered or if PET-positive disease PLUS ipsilateral hilum (as an elective volume) are both included, though a 2008 report helps provide some clarity.</w:t>
      </w:r>
      <w:r>
        <w:rPr>
          <w:rFonts w:ascii="Palatino-Roman" w:eastAsia="Palatino-Roman" w:cs="Palatino-Roman"/>
          <w:kern w:val="0"/>
          <w:sz w:val="10"/>
          <w:szCs w:val="10"/>
        </w:rPr>
        <w:t xml:space="preserve">38 </w:t>
      </w:r>
      <w:r>
        <w:rPr>
          <w:rFonts w:ascii="Palatino-Italic" w:eastAsia="Palatino-Italic" w:cs="Palatino-Italic"/>
          <w:i/>
          <w:iCs/>
          <w:kern w:val="0"/>
          <w:sz w:val="18"/>
          <w:szCs w:val="18"/>
        </w:rPr>
        <w:t xml:space="preserve">Note that ENI has been omitted in recent prospective trials (both CONVERT and </w:t>
      </w:r>
      <w:r w:rsidRPr="004E57F1">
        <w:rPr>
          <w:rFonts w:ascii="Palatino-Italic" w:eastAsia="Palatino-Italic" w:cs="Palatino-Italic"/>
          <w:i/>
          <w:iCs/>
          <w:kern w:val="0"/>
          <w:sz w:val="18"/>
          <w:szCs w:val="18"/>
          <w:highlight w:val="yellow"/>
        </w:rPr>
        <w:t>RTOG 0538</w:t>
      </w:r>
      <w:r>
        <w:rPr>
          <w:rFonts w:ascii="Palatino-Italic" w:eastAsia="Palatino-Italic" w:cs="Palatino-Italic"/>
          <w:i/>
          <w:iCs/>
          <w:kern w:val="0"/>
          <w:sz w:val="18"/>
          <w:szCs w:val="18"/>
        </w:rPr>
        <w:t>).</w:t>
      </w:r>
    </w:p>
    <w:p w:rsidR="004E57F1" w:rsidRDefault="004E57F1" w:rsidP="004E57F1">
      <w:pPr>
        <w:autoSpaceDE w:val="0"/>
        <w:autoSpaceDN w:val="0"/>
        <w:adjustRightInd w:val="0"/>
        <w:rPr>
          <w:rFonts w:ascii="Palatino-Italic" w:eastAsia="Palatino-Italic" w:cs="Palatino-Italic"/>
          <w:i/>
          <w:iCs/>
          <w:kern w:val="0"/>
          <w:sz w:val="18"/>
          <w:szCs w:val="18"/>
        </w:rPr>
      </w:pPr>
    </w:p>
    <w:p w:rsidR="004E57F1" w:rsidRDefault="004E57F1" w:rsidP="004E57F1">
      <w:pPr>
        <w:autoSpaceDE w:val="0"/>
        <w:autoSpaceDN w:val="0"/>
        <w:adjustRightInd w:val="0"/>
        <w:rPr>
          <w:rFonts w:ascii="MnwdfkLjwccfNewAster" w:eastAsia="MnwdfkLjwccfNewAster" w:cs="MnwdfkLjwccfNewAster"/>
          <w:color w:val="000000"/>
          <w:kern w:val="0"/>
          <w:sz w:val="18"/>
          <w:szCs w:val="18"/>
        </w:rPr>
      </w:pPr>
      <w:r>
        <w:rPr>
          <w:rFonts w:ascii="WwwswpVgqjcxSTIXGeneral-Regular" w:eastAsia="WwwswpVgqjcxSTIXGeneral-Regular" w:cs="WwwswpVgqjcxSTIXGeneral-Regular"/>
          <w:color w:val="DA0000"/>
          <w:kern w:val="0"/>
          <w:szCs w:val="24"/>
        </w:rPr>
        <w:t>.</w:t>
      </w:r>
      <w:r>
        <w:rPr>
          <w:rFonts w:ascii="MnwdfkLjwccfNewAster" w:eastAsia="MnwdfkLjwccfNewAster" w:cs="MnwdfkLjwccfNewAster"/>
          <w:color w:val="000000"/>
          <w:kern w:val="0"/>
          <w:sz w:val="18"/>
          <w:szCs w:val="18"/>
        </w:rPr>
        <w:t>CALGB 30610/</w:t>
      </w:r>
      <w:r w:rsidRPr="004E57F1">
        <w:rPr>
          <w:rFonts w:ascii="MnwdfkLjwccfNewAster" w:eastAsia="MnwdfkLjwccfNewAster" w:cs="MnwdfkLjwccfNewAster"/>
          <w:color w:val="000000"/>
          <w:kern w:val="0"/>
          <w:sz w:val="18"/>
          <w:szCs w:val="18"/>
          <w:highlight w:val="yellow"/>
        </w:rPr>
        <w:t>RTOG 0538</w:t>
      </w:r>
      <w:r>
        <w:rPr>
          <w:rFonts w:ascii="MnwdfkLjwccfNewAster" w:eastAsia="MnwdfkLjwccfNewAster" w:cs="MnwdfkLjwccfNewAster"/>
          <w:color w:val="000000"/>
          <w:kern w:val="0"/>
          <w:sz w:val="18"/>
          <w:szCs w:val="18"/>
        </w:rPr>
        <w:t xml:space="preserve"> (ongoing): Patients with LS-SCLC randomized to 3 RT regimens: standard fractionation</w:t>
      </w:r>
    </w:p>
    <w:p w:rsidR="004E57F1" w:rsidRDefault="004E57F1" w:rsidP="004E57F1">
      <w:pPr>
        <w:autoSpaceDE w:val="0"/>
        <w:autoSpaceDN w:val="0"/>
        <w:adjustRightInd w:val="0"/>
        <w:rPr>
          <w:rFonts w:ascii="MnwdfkLjwccfNewAster" w:eastAsia="MnwdfkLjwccfNewAster" w:cs="MnwdfkLjwccfNewAster"/>
          <w:color w:val="000000"/>
          <w:kern w:val="0"/>
          <w:sz w:val="18"/>
          <w:szCs w:val="18"/>
        </w:rPr>
      </w:pPr>
      <w:r>
        <w:rPr>
          <w:rFonts w:ascii="MnwdfkLjwccfNewAster" w:eastAsia="MnwdfkLjwccfNewAster" w:cs="MnwdfkLjwccfNewAster"/>
          <w:color w:val="000000"/>
          <w:kern w:val="0"/>
          <w:sz w:val="18"/>
          <w:szCs w:val="18"/>
        </w:rPr>
        <w:t>(70 Gy/2 Gy daily), Turrisi regimen (45 Gy/1.5 Gy BID) or RTOG 0239 dose escalation (61.2 Gy in 5 weeks). RTOG 0239 based arm dropped at planned interim analysis to facilitate accrual.</w:t>
      </w:r>
    </w:p>
    <w:p w:rsidR="004E57F1" w:rsidRPr="004E57F1" w:rsidRDefault="004E57F1" w:rsidP="004E57F1">
      <w:pPr>
        <w:autoSpaceDE w:val="0"/>
        <w:autoSpaceDN w:val="0"/>
        <w:adjustRightInd w:val="0"/>
        <w:rPr>
          <w:rFonts w:ascii="MnwdfkLjwccfNewAster" w:eastAsia="MnwdfkLjwccfNewAster" w:cs="MnwdfkLjwccfNewAster"/>
          <w:color w:val="000000"/>
          <w:kern w:val="0"/>
          <w:sz w:val="18"/>
          <w:szCs w:val="18"/>
        </w:rPr>
      </w:pPr>
    </w:p>
    <w:p w:rsidR="004E57F1" w:rsidRDefault="004E57F1" w:rsidP="004E57F1">
      <w:pPr>
        <w:autoSpaceDE w:val="0"/>
        <w:autoSpaceDN w:val="0"/>
        <w:adjustRightInd w:val="0"/>
        <w:rPr>
          <w:rFonts w:ascii="MnwdfkLjwccfNewAster" w:eastAsia="MnwdfkLjwccfNewAster" w:cs="MnwdfkLjwccfNewAster"/>
          <w:color w:val="000000"/>
          <w:kern w:val="0"/>
          <w:sz w:val="18"/>
          <w:szCs w:val="18"/>
        </w:rPr>
      </w:pPr>
    </w:p>
    <w:p w:rsidR="004E57F1" w:rsidRDefault="004E57F1" w:rsidP="004E57F1">
      <w:pPr>
        <w:autoSpaceDE w:val="0"/>
        <w:autoSpaceDN w:val="0"/>
        <w:adjustRightInd w:val="0"/>
        <w:rPr>
          <w:rFonts w:ascii="MnwdfkLjwccfNewAster" w:eastAsia="MnwdfkLjwccfNewAster" w:cs="MnwdfkLjwccfNewAster"/>
          <w:color w:val="000000"/>
          <w:kern w:val="0"/>
          <w:sz w:val="18"/>
          <w:szCs w:val="18"/>
        </w:rPr>
      </w:pPr>
    </w:p>
    <w:p w:rsidR="004E57F1" w:rsidRDefault="004E57F1" w:rsidP="004E57F1">
      <w:pPr>
        <w:autoSpaceDE w:val="0"/>
        <w:autoSpaceDN w:val="0"/>
        <w:adjustRightInd w:val="0"/>
      </w:pPr>
    </w:p>
    <w:sectPr w:rsidR="004E57F1" w:rsidSect="0009005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D6B" w:rsidRDefault="00EF7D6B" w:rsidP="00600682">
      <w:r>
        <w:separator/>
      </w:r>
    </w:p>
  </w:endnote>
  <w:endnote w:type="continuationSeparator" w:id="0">
    <w:p w:rsidR="00EF7D6B" w:rsidRDefault="00EF7D6B" w:rsidP="006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Palatino-Bold">
    <w:altName w:val="Arial Unicode MS"/>
    <w:panose1 w:val="00000000000000000000"/>
    <w:charset w:val="88"/>
    <w:family w:val="auto"/>
    <w:notTrueType/>
    <w:pitch w:val="default"/>
    <w:sig w:usb0="00000001" w:usb1="08080000" w:usb2="00000010" w:usb3="00000000" w:csb0="00100000" w:csb1="00000000"/>
  </w:font>
  <w:font w:name="Palatino-Roman">
    <w:altName w:val="MS Gothic"/>
    <w:panose1 w:val="00000000000000000000"/>
    <w:charset w:val="80"/>
    <w:family w:val="auto"/>
    <w:notTrueType/>
    <w:pitch w:val="default"/>
    <w:sig w:usb0="00000000" w:usb1="08070000" w:usb2="00000010" w:usb3="00000000" w:csb0="00020000" w:csb1="00000000"/>
  </w:font>
  <w:font w:name="Palatino-BoldItalic">
    <w:altName w:val="Arial Unicode MS"/>
    <w:panose1 w:val="00000000000000000000"/>
    <w:charset w:val="88"/>
    <w:family w:val="auto"/>
    <w:notTrueType/>
    <w:pitch w:val="default"/>
    <w:sig w:usb0="00000001" w:usb1="08080000" w:usb2="00000010" w:usb3="00000000" w:csb0="00100000" w:csb1="00000000"/>
  </w:font>
  <w:font w:name="Palatino-Italic">
    <w:altName w:val="Arial Unicode MS"/>
    <w:panose1 w:val="00000000000000000000"/>
    <w:charset w:val="88"/>
    <w:family w:val="auto"/>
    <w:notTrueType/>
    <w:pitch w:val="default"/>
    <w:sig w:usb0="00000001" w:usb1="08080000" w:usb2="00000010" w:usb3="00000000" w:csb0="00100000" w:csb1="00000000"/>
  </w:font>
  <w:font w:name="WwwswpVgqjcxSTIXGeneral-Regular">
    <w:altName w:val="新細明體"/>
    <w:panose1 w:val="00000000000000000000"/>
    <w:charset w:val="88"/>
    <w:family w:val="roman"/>
    <w:notTrueType/>
    <w:pitch w:val="default"/>
    <w:sig w:usb0="00000001" w:usb1="08080000" w:usb2="00000010" w:usb3="00000000" w:csb0="00100000" w:csb1="00000000"/>
  </w:font>
  <w:font w:name="MnwdfkLjwccfNewAster">
    <w:altName w:val="Arial Unicode MS"/>
    <w:panose1 w:val="00000000000000000000"/>
    <w:charset w:val="88"/>
    <w:family w:val="auto"/>
    <w:notTrueType/>
    <w:pitch w:val="default"/>
    <w:sig w:usb0="00000001" w:usb1="08080000" w:usb2="00000010" w:usb3="00000000" w:csb0="00100000" w:csb1="00000000"/>
  </w:font>
  <w:font w:name="BpbxvtSxtjplNewAster-Italic">
    <w:altName w:val="Arial Unicode MS"/>
    <w:panose1 w:val="00000000000000000000"/>
    <w:charset w:val="88"/>
    <w:family w:val="auto"/>
    <w:notTrueType/>
    <w:pitch w:val="default"/>
    <w:sig w:usb0="00000001" w:usb1="08080000" w:usb2="00000010" w:usb3="00000000" w:csb0="00100000" w:csb1="00000000"/>
  </w:font>
  <w:font w:name="PnrrypFwdygnSTIXGeneral-Regular">
    <w:altName w:val="新細明體"/>
    <w:panose1 w:val="00000000000000000000"/>
    <w:charset w:val="88"/>
    <w:family w:val="roman"/>
    <w:notTrueType/>
    <w:pitch w:val="default"/>
    <w:sig w:usb0="00000001" w:usb1="08080000" w:usb2="00000010" w:usb3="00000000" w:csb0="00100000" w:csb1="00000000"/>
  </w:font>
  <w:font w:name="WgspvqFsxpfkNewAster">
    <w:altName w:val="Arial Unicode MS"/>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NckjbtRpdkxwNewAster">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D6B" w:rsidRDefault="00EF7D6B" w:rsidP="00600682">
      <w:r>
        <w:separator/>
      </w:r>
    </w:p>
  </w:footnote>
  <w:footnote w:type="continuationSeparator" w:id="0">
    <w:p w:rsidR="00EF7D6B" w:rsidRDefault="00EF7D6B" w:rsidP="006006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053"/>
    <w:rsid w:val="00090053"/>
    <w:rsid w:val="001575C3"/>
    <w:rsid w:val="003B78AC"/>
    <w:rsid w:val="004E57F1"/>
    <w:rsid w:val="00600682"/>
    <w:rsid w:val="00A421C4"/>
    <w:rsid w:val="00C6719C"/>
    <w:rsid w:val="00EF7D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D489D9E-747F-40E8-8467-BCA67B2A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00682"/>
    <w:pPr>
      <w:tabs>
        <w:tab w:val="center" w:pos="4153"/>
        <w:tab w:val="right" w:pos="8306"/>
      </w:tabs>
      <w:snapToGrid w:val="0"/>
    </w:pPr>
    <w:rPr>
      <w:sz w:val="20"/>
      <w:szCs w:val="20"/>
    </w:rPr>
  </w:style>
  <w:style w:type="character" w:customStyle="1" w:styleId="a4">
    <w:name w:val="頁首 字元"/>
    <w:basedOn w:val="a0"/>
    <w:link w:val="a3"/>
    <w:uiPriority w:val="99"/>
    <w:rsid w:val="00600682"/>
    <w:rPr>
      <w:sz w:val="20"/>
      <w:szCs w:val="20"/>
    </w:rPr>
  </w:style>
  <w:style w:type="paragraph" w:styleId="a5">
    <w:name w:val="footer"/>
    <w:basedOn w:val="a"/>
    <w:link w:val="a6"/>
    <w:uiPriority w:val="99"/>
    <w:unhideWhenUsed/>
    <w:rsid w:val="00600682"/>
    <w:pPr>
      <w:tabs>
        <w:tab w:val="center" w:pos="4153"/>
        <w:tab w:val="right" w:pos="8306"/>
      </w:tabs>
      <w:snapToGrid w:val="0"/>
    </w:pPr>
    <w:rPr>
      <w:sz w:val="20"/>
      <w:szCs w:val="20"/>
    </w:rPr>
  </w:style>
  <w:style w:type="character" w:customStyle="1" w:styleId="a6">
    <w:name w:val="頁尾 字元"/>
    <w:basedOn w:val="a0"/>
    <w:link w:val="a5"/>
    <w:uiPriority w:val="99"/>
    <w:rsid w:val="0060068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1333</Words>
  <Characters>7603</Characters>
  <Application>Microsoft Office Word</Application>
  <DocSecurity>0</DocSecurity>
  <Lines>63</Lines>
  <Paragraphs>17</Paragraphs>
  <ScaleCrop>false</ScaleCrop>
  <Company>tsgh</Company>
  <LinksUpToDate>false</LinksUpToDate>
  <CharactersWithSpaces>8919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放射腫瘤部</dc:creator>
  <cp:keywords/>
  <dc:description/>
  <cp:lastModifiedBy>伯鍵 沈</cp:lastModifiedBy>
  <cp:revision>2</cp:revision>
  <dcterms:created xsi:type="dcterms:W3CDTF">2020-03-12T11:14:00Z</dcterms:created>
  <dcterms:modified xsi:type="dcterms:W3CDTF">2020-03-31T01:45:00Z</dcterms:modified>
</cp:coreProperties>
</file>