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Malignant Pleural Mesothelioma合併氣管隆凸下淋巴結轉移(subcarinal lymph nodes positivity)，根據AJCC第八版，淋巴結分期(N stage)為下列何者？</w:t>
      </w:r>
    </w:p>
    <w:p w:rsidR="00000000" w:rsidDel="00000000" w:rsidP="00000000" w:rsidRDefault="00000000" w:rsidRPr="00000000" w14:paraId="0000000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N1</w:t>
      </w:r>
    </w:p>
    <w:p w:rsidR="00000000" w:rsidDel="00000000" w:rsidP="00000000" w:rsidRDefault="00000000" w:rsidRPr="00000000" w14:paraId="0000000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N2</w:t>
      </w:r>
    </w:p>
    <w:p w:rsidR="00000000" w:rsidDel="00000000" w:rsidP="00000000" w:rsidRDefault="00000000" w:rsidRPr="00000000" w14:paraId="0000000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N3</w:t>
      </w:r>
    </w:p>
    <w:p w:rsidR="00000000" w:rsidDel="00000000" w:rsidP="00000000" w:rsidRDefault="00000000" w:rsidRPr="00000000" w14:paraId="0000000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與淋巴結分期不相關</w:t>
      </w:r>
    </w:p>
    <w:p w:rsidR="00000000" w:rsidDel="00000000" w:rsidP="00000000" w:rsidRDefault="00000000" w:rsidRPr="00000000" w14:paraId="00000006">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Gungsuh" w:cs="Gungsuh" w:eastAsia="Gungsuh" w:hAnsi="Gungsuh"/>
          <w:b w:val="1"/>
          <w:i w:val="1"/>
          <w:smallCaps w:val="0"/>
          <w:strike w:val="0"/>
          <w:color w:val="000000"/>
          <w:sz w:val="24"/>
          <w:szCs w:val="24"/>
          <w:u w:val="single"/>
          <w:shd w:fill="auto" w:val="clear"/>
          <w:vertAlign w:val="baseline"/>
          <w:rtl w:val="0"/>
        </w:rPr>
        <w:t xml:space="preserve">(肺與縱膈腔腫瘤)</w:t>
      </w:r>
      <w:r w:rsidDel="00000000" w:rsidR="00000000" w:rsidRPr="00000000">
        <w:rPr>
          <w:rtl w:val="0"/>
        </w:rPr>
      </w:r>
    </w:p>
    <w:p w:rsidR="00000000" w:rsidDel="00000000" w:rsidP="00000000" w:rsidRDefault="00000000" w:rsidRPr="00000000" w14:paraId="00000007">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簡易</w:t>
      </w:r>
    </w:p>
    <w:p w:rsidR="00000000" w:rsidDel="00000000" w:rsidP="00000000" w:rsidRDefault="00000000" w:rsidRPr="00000000" w14:paraId="00000008">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AJCC 第八版, 紙本version, P465</w:t>
      </w:r>
    </w:p>
    <w:p w:rsidR="00000000" w:rsidDel="00000000" w:rsidP="00000000" w:rsidRDefault="00000000" w:rsidRPr="00000000" w14:paraId="00000009">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N0: No regional node metastasis</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N1: Metastasis to the ipsilateral bronchopulmonary or hilar lymph nodes or mediastinal lymph nodes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N2: Metastasis in contralateral mediastinal, ipsilateral, or contralateral supraclavicular lymph node(s)</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病理報告顯示：右上肺葉腫瘤1.3公分，adenocarcinoma，extend to surface of the visceral pleural (PL2)，請問根據AJCC第八版，T classification為下列何者？</w:t>
      </w:r>
    </w:p>
    <w:p w:rsidR="00000000" w:rsidDel="00000000" w:rsidP="00000000" w:rsidRDefault="00000000" w:rsidRPr="00000000" w14:paraId="0000000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T1a</w:t>
      </w:r>
    </w:p>
    <w:p w:rsidR="00000000" w:rsidDel="00000000" w:rsidP="00000000" w:rsidRDefault="00000000" w:rsidRPr="00000000" w14:paraId="0000000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T1b</w:t>
      </w:r>
    </w:p>
    <w:p w:rsidR="00000000" w:rsidDel="00000000" w:rsidP="00000000" w:rsidRDefault="00000000" w:rsidRPr="00000000" w14:paraId="0000000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T2a</w:t>
      </w:r>
    </w:p>
    <w:p w:rsidR="00000000" w:rsidDel="00000000" w:rsidP="00000000" w:rsidRDefault="00000000" w:rsidRPr="00000000" w14:paraId="0000001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T2b</w:t>
      </w:r>
    </w:p>
    <w:p w:rsidR="00000000" w:rsidDel="00000000" w:rsidP="00000000" w:rsidRDefault="00000000" w:rsidRPr="00000000" w14:paraId="00000011">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Gungsuh" w:cs="Gungsuh" w:eastAsia="Gungsuh" w:hAnsi="Gungsuh"/>
          <w:b w:val="1"/>
          <w:i w:val="1"/>
          <w:smallCaps w:val="0"/>
          <w:strike w:val="0"/>
          <w:color w:val="000000"/>
          <w:sz w:val="24"/>
          <w:szCs w:val="24"/>
          <w:u w:val="single"/>
          <w:shd w:fill="auto" w:val="clear"/>
          <w:vertAlign w:val="baseline"/>
          <w:rtl w:val="0"/>
        </w:rPr>
        <w:t xml:space="preserve">(肺與縱膈腔腫瘤)</w:t>
      </w:r>
    </w:p>
    <w:p w:rsidR="00000000" w:rsidDel="00000000" w:rsidP="00000000" w:rsidRDefault="00000000" w:rsidRPr="00000000" w14:paraId="00000012">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簡易</w:t>
      </w:r>
    </w:p>
    <w:p w:rsidR="00000000" w:rsidDel="00000000" w:rsidP="00000000" w:rsidRDefault="00000000" w:rsidRPr="00000000" w14:paraId="00000013">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AJCC 第八版, 紙本version, P447</w:t>
      </w:r>
    </w:p>
    <w:p w:rsidR="00000000" w:rsidDel="00000000" w:rsidP="00000000" w:rsidRDefault="00000000" w:rsidRPr="00000000" w14:paraId="00000014">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T2a: &gt;3cm, but less than 4cm, (also includes T2 tumors based on proximity to mainstem bronchus, visceral pleural invasion, or atelectasis/obstructive pneumonitis that are &lt;3 cm). Tumors invading directly across a fissure measuring less than 4 cm.</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針對Locally-advanced NSCLC，CCRT後以durvalumab進行consolidation為目前的standard-of-care，請問下列何者是durvalumab的作用機制？</w:t>
      </w:r>
    </w:p>
    <w:p w:rsidR="00000000" w:rsidDel="00000000" w:rsidP="00000000" w:rsidRDefault="00000000" w:rsidRPr="00000000" w14:paraId="0000001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CTLA-4 inhibitor</w:t>
      </w:r>
    </w:p>
    <w:p w:rsidR="00000000" w:rsidDel="00000000" w:rsidP="00000000" w:rsidRDefault="00000000" w:rsidRPr="00000000" w14:paraId="0000001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PD-1 inhibitor</w:t>
      </w:r>
    </w:p>
    <w:p w:rsidR="00000000" w:rsidDel="00000000" w:rsidP="00000000" w:rsidRDefault="00000000" w:rsidRPr="00000000" w14:paraId="0000001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PD-L1 inhibitor</w:t>
      </w:r>
    </w:p>
    <w:p w:rsidR="00000000" w:rsidDel="00000000" w:rsidP="00000000" w:rsidRDefault="00000000" w:rsidRPr="00000000" w14:paraId="0000001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CD80 inhibitor</w:t>
      </w:r>
    </w:p>
    <w:p w:rsidR="00000000" w:rsidDel="00000000" w:rsidP="00000000" w:rsidRDefault="00000000" w:rsidRPr="00000000" w14:paraId="0000001A">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 </w:t>
      </w:r>
      <w:r w:rsidDel="00000000" w:rsidR="00000000" w:rsidRPr="00000000">
        <w:rPr>
          <w:rFonts w:ascii="Gungsuh" w:cs="Gungsuh" w:eastAsia="Gungsuh" w:hAnsi="Gungsuh"/>
          <w:b w:val="1"/>
          <w:i w:val="1"/>
          <w:smallCaps w:val="0"/>
          <w:strike w:val="0"/>
          <w:color w:val="000000"/>
          <w:sz w:val="24"/>
          <w:szCs w:val="24"/>
          <w:u w:val="single"/>
          <w:shd w:fill="auto" w:val="clear"/>
          <w:vertAlign w:val="baseline"/>
          <w:rtl w:val="0"/>
        </w:rPr>
        <w:t xml:space="preserve">(肺與縱膈腔腫瘤)</w:t>
      </w:r>
    </w:p>
    <w:p w:rsidR="00000000" w:rsidDel="00000000" w:rsidP="00000000" w:rsidRDefault="00000000" w:rsidRPr="00000000" w14:paraId="0000001B">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簡易</w:t>
      </w:r>
    </w:p>
    <w:p w:rsidR="00000000" w:rsidDel="00000000" w:rsidP="00000000" w:rsidRDefault="00000000" w:rsidRPr="00000000" w14:paraId="0000001C">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P675</w:t>
      </w:r>
    </w:p>
    <w:p w:rsidR="00000000" w:rsidDel="00000000" w:rsidP="00000000" w:rsidRDefault="00000000" w:rsidRPr="00000000" w14:paraId="0000001D">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phase 3</w:t>
        <w:tab/>
        <w:t xml:space="preserve">study compared anti–PD-L1 antibody, durvalumab, as consolidation therapy with placebo in patients with stage II NSCLC who did not have disease progression after two or more cycles of platinum-based chemoradiotherapy. After a 2:1 ratio randomization, the median progression-free survival from randomizationwas 16.8 months (95% confidence</w:t>
        <w:tab/>
        <w:t xml:space="preserve">interval [CI], 13.0</w:t>
        <w:tab/>
        <w:t xml:space="preserve">to 18.1) with durvalumab versus 5.6 months (95% CI, 4.6 to 7.8)</w:t>
        <w:tab/>
        <w:t xml:space="preserve">with placebo (P &lt; .001), and the 18-month</w:t>
        <w:tab/>
        <w:t xml:space="preserve">progression-free survival rate</w:t>
        <w:tab/>
        <w:t xml:space="preserve">was</w:t>
        <w:tab/>
        <w:t xml:space="preserve">44.2% versus 27.0%. Without any significant increase in toxicity, the response rate was higher with durvalumab than with placebo (28.4%</w:t>
        <w:tab/>
        <w:t xml:space="preserve">vs.</w:t>
        <w:tab/>
        <w:t xml:space="preserve">16.0%; P</w:t>
        <w:tab/>
        <w:t xml:space="preserve">&lt;.001), and the median duration of response was longer (72.8% vs. 46.8% of</w:t>
        <w:tab/>
        <w:t xml:space="preserve">the patients had an ongoing response at</w:t>
        <w:tab/>
        <w:t xml:space="preserve">18 months). These impressive</w:t>
        <w:tab/>
        <w:t xml:space="preserve"> results</w:t>
        <w:tab/>
        <w:t xml:space="preserve"> will clearly set the new standard of care in NSCLC.</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1134"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下列Thymoma的WHO histology，何者有最favorable的預後？</w:t>
      </w:r>
    </w:p>
    <w:p w:rsidR="00000000" w:rsidDel="00000000" w:rsidP="00000000" w:rsidRDefault="00000000" w:rsidRPr="00000000" w14:paraId="0000002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w:t>
      </w:r>
    </w:p>
    <w:p w:rsidR="00000000" w:rsidDel="00000000" w:rsidP="00000000" w:rsidRDefault="00000000" w:rsidRPr="00000000" w14:paraId="0000002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w:t>
      </w:r>
    </w:p>
    <w:p w:rsidR="00000000" w:rsidDel="00000000" w:rsidP="00000000" w:rsidRDefault="00000000" w:rsidRPr="00000000" w14:paraId="0000002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w:t>
      </w:r>
    </w:p>
    <w:p w:rsidR="00000000" w:rsidDel="00000000" w:rsidP="00000000" w:rsidRDefault="00000000" w:rsidRPr="00000000" w14:paraId="0000002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Thymic carcinoma</w:t>
      </w:r>
    </w:p>
    <w:p w:rsidR="00000000" w:rsidDel="00000000" w:rsidP="00000000" w:rsidRDefault="00000000" w:rsidRPr="00000000" w14:paraId="00000024">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Gungsuh" w:cs="Gungsuh" w:eastAsia="Gungsuh" w:hAnsi="Gungsuh"/>
          <w:b w:val="1"/>
          <w:i w:val="1"/>
          <w:smallCaps w:val="0"/>
          <w:strike w:val="0"/>
          <w:color w:val="000000"/>
          <w:sz w:val="24"/>
          <w:szCs w:val="24"/>
          <w:u w:val="single"/>
          <w:shd w:fill="auto" w:val="clear"/>
          <w:vertAlign w:val="baseline"/>
          <w:rtl w:val="0"/>
        </w:rPr>
        <w:t xml:space="preserve">(肺與縱膈腔腫瘤)</w:t>
      </w:r>
    </w:p>
    <w:p w:rsidR="00000000" w:rsidDel="00000000" w:rsidP="00000000" w:rsidRDefault="00000000" w:rsidRPr="00000000" w14:paraId="00000025">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簡易</w:t>
      </w:r>
    </w:p>
    <w:p w:rsidR="00000000" w:rsidDel="00000000" w:rsidP="00000000" w:rsidRDefault="00000000" w:rsidRPr="00000000" w14:paraId="00000026">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P1177</w:t>
      </w:r>
    </w:p>
    <w:p w:rsidR="00000000" w:rsidDel="00000000" w:rsidP="00000000" w:rsidRDefault="00000000" w:rsidRPr="00000000" w14:paraId="00000027">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A and AB tumors are Mosaoka stage I or II, and the B subtypes tend to resemble the higher Mosaoka stages. Type C had distinctly worse survival. 10-year disease-free survival based on WHO histologic classification: A: 95%, AB: 90%, B1: 85%, B2: 71%, B3: 40%</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RTOG 7301中，針對unresectable non-small cell lung cancer (NSCLC)，下列何種RT regimen overall survival最差?</w:t>
      </w:r>
    </w:p>
    <w:p w:rsidR="00000000" w:rsidDel="00000000" w:rsidP="00000000" w:rsidRDefault="00000000" w:rsidRPr="00000000" w14:paraId="0000002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Gy sequential</w:t>
      </w:r>
    </w:p>
    <w:p w:rsidR="00000000" w:rsidDel="00000000" w:rsidP="00000000" w:rsidRDefault="00000000" w:rsidRPr="00000000" w14:paraId="0000002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Gy split course</w:t>
      </w:r>
    </w:p>
    <w:p w:rsidR="00000000" w:rsidDel="00000000" w:rsidP="00000000" w:rsidRDefault="00000000" w:rsidRPr="00000000" w14:paraId="0000002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Gy sequential</w:t>
      </w:r>
    </w:p>
    <w:p w:rsidR="00000000" w:rsidDel="00000000" w:rsidP="00000000" w:rsidRDefault="00000000" w:rsidRPr="00000000" w14:paraId="0000002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Gy sequential</w:t>
      </w:r>
    </w:p>
    <w:p w:rsidR="00000000" w:rsidDel="00000000" w:rsidP="00000000" w:rsidRDefault="00000000" w:rsidRPr="00000000" w14:paraId="0000002D">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Gungsuh" w:cs="Gungsuh" w:eastAsia="Gungsuh" w:hAnsi="Gungsuh"/>
          <w:b w:val="1"/>
          <w:i w:val="1"/>
          <w:smallCaps w:val="0"/>
          <w:strike w:val="0"/>
          <w:color w:val="000000"/>
          <w:sz w:val="24"/>
          <w:szCs w:val="24"/>
          <w:u w:val="single"/>
          <w:shd w:fill="auto" w:val="clear"/>
          <w:vertAlign w:val="baseline"/>
          <w:rtl w:val="0"/>
        </w:rPr>
        <w:t xml:space="preserve">(肺與縱膈腔腫瘤)</w:t>
      </w:r>
    </w:p>
    <w:p w:rsidR="00000000" w:rsidDel="00000000" w:rsidP="00000000" w:rsidRDefault="00000000" w:rsidRPr="00000000" w14:paraId="0000002E">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簡易</w:t>
      </w:r>
    </w:p>
    <w:p w:rsidR="00000000" w:rsidDel="00000000" w:rsidP="00000000" w:rsidRDefault="00000000" w:rsidRPr="00000000" w14:paraId="0000002F">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Perez &amp; Brady’s, 7th edition, P1148-1149</w:t>
      </w:r>
    </w:p>
    <w:p w:rsidR="00000000" w:rsidDel="00000000" w:rsidP="00000000" w:rsidRDefault="00000000" w:rsidRPr="00000000" w14:paraId="00000030">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initial report of RTOG 7301,365 patients with T1-T3, N0-N2,M0 unresectable NSCLC were randomized</w:t>
        <w:tab/>
        <w:t xml:space="preserve">to one of</w:t>
        <w:tab/>
        <w:t xml:space="preserve">four</w:t>
        <w:tab/>
        <w:t xml:space="preserve">treatment</w:t>
        <w:tab/>
        <w:t xml:space="preserve">regimens:</w:t>
        <w:tab/>
        <w:t xml:space="preserve">40Gy given in a split course of 20 Gy in five fractions in 1 week, a 2-week</w:t>
        <w:tab/>
        <w:t xml:space="preserve">rest, And then an additional 20 Gy in 1 week</w:t>
        <w:tab/>
        <w:t xml:space="preserve">or 40 Gy,</w:t>
        <w:tab/>
        <w:t xml:space="preserve">50 Gy, or</w:t>
        <w:tab/>
        <w:t xml:space="preserve">60 Gy given in</w:t>
        <w:tab/>
        <w:t xml:space="preserve"> 2 Gy per fraction continuous course 5 days/week. The split-course group had the poorest survival: 10% at 2 years. The incidence of tumor recurrence in the irradiated volume was 58% for the patients receiving 40 Gy continuous course, 53% for those treated with 40 Gy split course, 49% with</w:t>
        <w:tab/>
        <w:t xml:space="preserve">50 Gy continuous irradiation, and 35% in the patients receiving 60 Gy. There were</w:t>
        <w:tab/>
        <w:t xml:space="preserve">no differences in 5-year</w:t>
        <w:tab/>
        <w:t xml:space="preserve">survival rates between the four arms.</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請問下列何者是肺部鱗狀細胞癌的Para-neoplastic syndrome?</w:t>
      </w:r>
    </w:p>
    <w:p w:rsidR="00000000" w:rsidDel="00000000" w:rsidP="00000000" w:rsidRDefault="00000000" w:rsidRPr="00000000" w14:paraId="0000003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Hypercalcemia from PTH-related peptide</w:t>
      </w:r>
    </w:p>
    <w:p w:rsidR="00000000" w:rsidDel="00000000" w:rsidP="00000000" w:rsidRDefault="00000000" w:rsidRPr="00000000" w14:paraId="0000003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Syndrome of inappropriate anti-diuretic hormone (SIADH)</w:t>
      </w:r>
    </w:p>
    <w:p w:rsidR="00000000" w:rsidDel="00000000" w:rsidP="00000000" w:rsidRDefault="00000000" w:rsidRPr="00000000" w14:paraId="0000003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Cerebellar ataxia</w:t>
      </w:r>
    </w:p>
    <w:p w:rsidR="00000000" w:rsidDel="00000000" w:rsidP="00000000" w:rsidRDefault="00000000" w:rsidRPr="00000000" w14:paraId="0000003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Eaton-Lambert syndrome</w:t>
      </w:r>
    </w:p>
    <w:p w:rsidR="00000000" w:rsidDel="00000000" w:rsidP="00000000" w:rsidRDefault="00000000" w:rsidRPr="00000000" w14:paraId="00000036">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A </w:t>
      </w:r>
      <w:r w:rsidDel="00000000" w:rsidR="00000000" w:rsidRPr="00000000">
        <w:rPr>
          <w:rFonts w:ascii="Gungsuh" w:cs="Gungsuh" w:eastAsia="Gungsuh" w:hAnsi="Gungsuh"/>
          <w:b w:val="1"/>
          <w:i w:val="1"/>
          <w:smallCaps w:val="0"/>
          <w:strike w:val="0"/>
          <w:color w:val="000000"/>
          <w:sz w:val="24"/>
          <w:szCs w:val="24"/>
          <w:u w:val="single"/>
          <w:shd w:fill="auto" w:val="clear"/>
          <w:vertAlign w:val="baseline"/>
          <w:rtl w:val="0"/>
        </w:rPr>
        <w:t xml:space="preserve">(肺與縱膈腔腫瘤)</w:t>
      </w:r>
      <w:r w:rsidDel="00000000" w:rsidR="00000000" w:rsidRPr="00000000">
        <w:rPr>
          <w:rtl w:val="0"/>
        </w:rPr>
      </w:r>
    </w:p>
    <w:p w:rsidR="00000000" w:rsidDel="00000000" w:rsidP="00000000" w:rsidRDefault="00000000" w:rsidRPr="00000000" w14:paraId="00000037">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中等</w:t>
      </w:r>
    </w:p>
    <w:p w:rsidR="00000000" w:rsidDel="00000000" w:rsidP="00000000" w:rsidRDefault="00000000" w:rsidRPr="00000000" w14:paraId="00000038">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P1139</w:t>
      </w:r>
    </w:p>
    <w:p w:rsidR="00000000" w:rsidDel="00000000" w:rsidP="00000000" w:rsidRDefault="00000000" w:rsidRPr="00000000" w14:paraId="00000039">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Hypercalcemia in patients with lung cancer may be attributable to the</w:t>
        <w:tab/>
        <w:t xml:space="preserve">secretion of a parathyroihormone–related protein (PTHrP), calcitriol, or</w:t>
        <w:tab/>
        <w:t xml:space="preserve">other cytokines, including osteoclast-activating factors. In one study of 1,149 consecutive lung cancers, 6% of patients had hypercalcemia. Among</w:t>
        <w:tab/>
        <w:t xml:space="preserve">those with hypercalcemia, squamous cell carcinoma, adenocarcinoma, and </w:t>
        <w:tab/>
        <w:t xml:space="preserve">SCLC were responsible in 51%, 22%, and 15% of</w:t>
        <w:tab/>
        <w:t xml:space="preserve">cases, respectively. SIADH and Eaton-Lambert syndrome are frequently caused by SCLC.</w:t>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請問Crizotinib為下列何者的selective inhibitors?</w:t>
      </w:r>
    </w:p>
    <w:p w:rsidR="00000000" w:rsidDel="00000000" w:rsidP="00000000" w:rsidRDefault="00000000" w:rsidRPr="00000000" w14:paraId="0000003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ALK、MET</w:t>
      </w:r>
    </w:p>
    <w:p w:rsidR="00000000" w:rsidDel="00000000" w:rsidP="00000000" w:rsidRDefault="00000000" w:rsidRPr="00000000" w14:paraId="0000003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ALK、KRAS</w:t>
      </w:r>
    </w:p>
    <w:p w:rsidR="00000000" w:rsidDel="00000000" w:rsidP="00000000" w:rsidRDefault="00000000" w:rsidRPr="00000000" w14:paraId="0000003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ALK、NRAS</w:t>
      </w:r>
    </w:p>
    <w:p w:rsidR="00000000" w:rsidDel="00000000" w:rsidP="00000000" w:rsidRDefault="00000000" w:rsidRPr="00000000" w14:paraId="0000003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KRAS、MET</w:t>
      </w:r>
    </w:p>
    <w:p w:rsidR="00000000" w:rsidDel="00000000" w:rsidP="00000000" w:rsidRDefault="00000000" w:rsidRPr="00000000" w14:paraId="0000003F">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Gungsuh" w:cs="Gungsuh" w:eastAsia="Gungsuh" w:hAnsi="Gungsuh"/>
          <w:b w:val="1"/>
          <w:i w:val="1"/>
          <w:smallCaps w:val="0"/>
          <w:strike w:val="0"/>
          <w:color w:val="ff0000"/>
          <w:sz w:val="24"/>
          <w:szCs w:val="24"/>
          <w:u w:val="single"/>
          <w:shd w:fill="auto" w:val="clear"/>
          <w:vertAlign w:val="baseline"/>
          <w:rtl w:val="0"/>
        </w:rPr>
        <w:t xml:space="preserve">(肺與縱膈腔腫瘤)</w:t>
      </w:r>
    </w:p>
    <w:p w:rsidR="00000000" w:rsidDel="00000000" w:rsidP="00000000" w:rsidRDefault="00000000" w:rsidRPr="00000000" w14:paraId="00000040">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41">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P1160</w:t>
      </w:r>
    </w:p>
    <w:p w:rsidR="00000000" w:rsidDel="00000000" w:rsidP="00000000" w:rsidRDefault="00000000" w:rsidRPr="00000000" w14:paraId="00000042">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Crizotinib, a selective inhibitor of the ALK and MET tyrosine kinases, was approved for patients with NSCLC whose tumor expressed EML4-ALK remarkable activity.</w:t>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請問Dabrafenib為何種藥物？與下列何種藥物具相同作用機轉？</w:t>
      </w:r>
    </w:p>
    <w:p w:rsidR="00000000" w:rsidDel="00000000" w:rsidP="00000000" w:rsidRDefault="00000000" w:rsidRPr="00000000" w14:paraId="0000004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MEK inhibitor, Trametinib</w:t>
      </w:r>
    </w:p>
    <w:p w:rsidR="00000000" w:rsidDel="00000000" w:rsidP="00000000" w:rsidRDefault="00000000" w:rsidRPr="00000000" w14:paraId="0000004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BRAF inhibitor, Vemurafenib</w:t>
      </w:r>
    </w:p>
    <w:p w:rsidR="00000000" w:rsidDel="00000000" w:rsidP="00000000" w:rsidRDefault="00000000" w:rsidRPr="00000000" w14:paraId="0000004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Anti-PD-1 inhibitor, Pembrolizumab</w:t>
      </w:r>
    </w:p>
    <w:p w:rsidR="00000000" w:rsidDel="00000000" w:rsidP="00000000" w:rsidRDefault="00000000" w:rsidRPr="00000000" w14:paraId="0000004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Anti-PD-L1 inhibitor, Durvalumab</w:t>
      </w:r>
    </w:p>
    <w:p w:rsidR="00000000" w:rsidDel="00000000" w:rsidP="00000000" w:rsidRDefault="00000000" w:rsidRPr="00000000" w14:paraId="00000048">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Gungsuh" w:cs="Gungsuh" w:eastAsia="Gungsuh" w:hAnsi="Gungsuh"/>
          <w:b w:val="1"/>
          <w:i w:val="1"/>
          <w:smallCaps w:val="0"/>
          <w:strike w:val="0"/>
          <w:color w:val="ff0000"/>
          <w:sz w:val="24"/>
          <w:szCs w:val="24"/>
          <w:u w:val="single"/>
          <w:shd w:fill="auto" w:val="clear"/>
          <w:vertAlign w:val="baseline"/>
          <w:rtl w:val="0"/>
        </w:rPr>
        <w:t xml:space="preserve">(肺與縱膈腔腫瘤)</w:t>
      </w:r>
    </w:p>
    <w:p w:rsidR="00000000" w:rsidDel="00000000" w:rsidP="00000000" w:rsidRDefault="00000000" w:rsidRPr="00000000" w14:paraId="00000049">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中等</w:t>
      </w:r>
    </w:p>
    <w:p w:rsidR="00000000" w:rsidDel="00000000" w:rsidP="00000000" w:rsidRDefault="00000000" w:rsidRPr="00000000" w14:paraId="0000004A">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P1160</w:t>
      </w:r>
    </w:p>
    <w:p w:rsidR="00000000" w:rsidDel="00000000" w:rsidP="00000000" w:rsidRDefault="00000000" w:rsidRPr="00000000" w14:paraId="0000004B">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BRAF act as oncogenic driver in the presence of an activating mutation, the most common one of which is V600E, observed in 1-2 % of lung adenocarcinoma. A BRAF inhibitor, dabrafenib, has been found to have activity in these patients with a response of 33% and a PFS of 5.5 months. Vemurafenib, another BRAF inhibitor, also has activity with a response rate of 42% and a PFS of 7.3 months.</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肺鱗狀上皮細胞癌與肺腺癌，CTV分別要加多少mm的margin for cover 95% of the microscopic disease？</w:t>
      </w:r>
    </w:p>
    <w:p w:rsidR="00000000" w:rsidDel="00000000" w:rsidP="00000000" w:rsidRDefault="00000000" w:rsidRPr="00000000" w14:paraId="0000004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鱗狀上皮細胞癌(6 mm)、腺癌(6 mm)</w:t>
      </w:r>
    </w:p>
    <w:p w:rsidR="00000000" w:rsidDel="00000000" w:rsidP="00000000" w:rsidRDefault="00000000" w:rsidRPr="00000000" w14:paraId="0000004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鱗狀上皮細胞癌(6 mm)、腺癌(8 mm)</w:t>
      </w:r>
    </w:p>
    <w:p w:rsidR="00000000" w:rsidDel="00000000" w:rsidP="00000000" w:rsidRDefault="00000000" w:rsidRPr="00000000" w14:paraId="0000004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鱗狀上皮細胞癌(8 mm)、腺癌(6 mm)</w:t>
      </w:r>
    </w:p>
    <w:p w:rsidR="00000000" w:rsidDel="00000000" w:rsidP="00000000" w:rsidRDefault="00000000" w:rsidRPr="00000000" w14:paraId="0000005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鱗狀上皮細胞癌(8 mm)、腺癌(8 mm)</w:t>
      </w:r>
    </w:p>
    <w:p w:rsidR="00000000" w:rsidDel="00000000" w:rsidP="00000000" w:rsidRDefault="00000000" w:rsidRPr="00000000" w14:paraId="00000051">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 </w:t>
      </w:r>
      <w:r w:rsidDel="00000000" w:rsidR="00000000" w:rsidRPr="00000000">
        <w:rPr>
          <w:rFonts w:ascii="Gungsuh" w:cs="Gungsuh" w:eastAsia="Gungsuh" w:hAnsi="Gungsuh"/>
          <w:b w:val="1"/>
          <w:i w:val="1"/>
          <w:smallCaps w:val="0"/>
          <w:strike w:val="0"/>
          <w:color w:val="ff0000"/>
          <w:sz w:val="24"/>
          <w:szCs w:val="24"/>
          <w:u w:val="single"/>
          <w:shd w:fill="auto" w:val="clear"/>
          <w:vertAlign w:val="baseline"/>
          <w:rtl w:val="0"/>
        </w:rPr>
        <w:t xml:space="preserve">(肺與縱膈腔腫瘤)</w:t>
      </w:r>
    </w:p>
    <w:p w:rsidR="00000000" w:rsidDel="00000000" w:rsidP="00000000" w:rsidRDefault="00000000" w:rsidRPr="00000000" w14:paraId="00000052">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中等</w:t>
      </w:r>
    </w:p>
    <w:p w:rsidR="00000000" w:rsidDel="00000000" w:rsidP="00000000" w:rsidRDefault="00000000" w:rsidRPr="00000000" w14:paraId="00000053">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P1155</w:t>
      </w:r>
    </w:p>
    <w:p w:rsidR="00000000" w:rsidDel="00000000" w:rsidP="00000000" w:rsidRDefault="00000000" w:rsidRPr="00000000" w14:paraId="00000054">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CTV represents a volumetric expansion of the GTV to encompass microscopic disease. For the primary tumor, pathologically derived correlative data have shown that a 9-mm margin would encompass all microscopic disease in approximately 90% of lung adenocarcinomas. Others have advocated the use of a differential margin based on histology of 8 mm for adenocarcinoma and 6 mm for squamous cell carcinomas to account for 95% of the microscopic extension of disease.</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988" w:right="0" w:hanging="425.9999999999996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何者正確定義圈選的縱膈腔淋巴結？</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741390" cy="2489714"/>
            <wp:effectExtent b="0" l="0" r="0" t="0"/>
            <wp:docPr id="1" name="image1.png"/>
            <a:graphic>
              <a:graphicData uri="http://schemas.openxmlformats.org/drawingml/2006/picture">
                <pic:pic>
                  <pic:nvPicPr>
                    <pic:cNvPr id="0" name="image1.png"/>
                    <pic:cNvPicPr preferRelativeResize="0"/>
                  </pic:nvPicPr>
                  <pic:blipFill>
                    <a:blip r:embed="rId6"/>
                    <a:srcRect b="28186" l="15687" r="65915" t="28293"/>
                    <a:stretch>
                      <a:fillRect/>
                    </a:stretch>
                  </pic:blipFill>
                  <pic:spPr>
                    <a:xfrm>
                      <a:off x="0" y="0"/>
                      <a:ext cx="3741390" cy="248971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paratracheal level 4: </w:t>
      </w:r>
      <w:r w:rsidDel="00000000" w:rsidR="00000000" w:rsidRPr="00000000">
        <w:rPr>
          <w:rFonts w:ascii="Gungsuh" w:cs="Gungsuh" w:eastAsia="Gungsuh" w:hAnsi="Gungsuh"/>
          <w:b w:val="0"/>
          <w:i w:val="0"/>
          <w:smallCaps w:val="0"/>
          <w:strike w:val="0"/>
          <w:color w:val="000000"/>
          <w:sz w:val="24"/>
          <w:szCs w:val="24"/>
          <w:u w:val="single"/>
          <w:shd w:fill="auto" w:val="clear"/>
          <w:vertAlign w:val="baseline"/>
          <w:rtl w:val="0"/>
        </w:rPr>
        <w:t xml:space="preserve">綠色</w:t>
      </w:r>
      <w:r w:rsidDel="00000000" w:rsidR="00000000" w:rsidRPr="00000000">
        <w:rPr>
          <w:rtl w:val="0"/>
        </w:rPr>
      </w:r>
    </w:p>
    <w:p w:rsidR="00000000" w:rsidDel="00000000" w:rsidP="00000000" w:rsidRDefault="00000000" w:rsidRPr="00000000" w14:paraId="0000005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Subcarinal level 7: 白色</w:t>
      </w:r>
    </w:p>
    <w:p w:rsidR="00000000" w:rsidDel="00000000" w:rsidP="00000000" w:rsidRDefault="00000000" w:rsidRPr="00000000" w14:paraId="0000005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Prevascular level 3A: </w:t>
      </w:r>
      <w:r w:rsidDel="00000000" w:rsidR="00000000" w:rsidRPr="00000000">
        <w:rPr>
          <w:rFonts w:ascii="Gungsuh" w:cs="Gungsuh" w:eastAsia="Gungsuh" w:hAnsi="Gungsuh"/>
          <w:b w:val="0"/>
          <w:i w:val="0"/>
          <w:smallCaps w:val="0"/>
          <w:strike w:val="0"/>
          <w:color w:val="000000"/>
          <w:sz w:val="24"/>
          <w:szCs w:val="24"/>
          <w:u w:val="single"/>
          <w:shd w:fill="auto" w:val="clear"/>
          <w:vertAlign w:val="baseline"/>
          <w:rtl w:val="0"/>
        </w:rPr>
        <w:t xml:space="preserve">青色(藍綠色)</w:t>
      </w:r>
      <w:r w:rsidDel="00000000" w:rsidR="00000000" w:rsidRPr="00000000">
        <w:rPr>
          <w:rtl w:val="0"/>
        </w:rPr>
      </w:r>
    </w:p>
    <w:p w:rsidR="00000000" w:rsidDel="00000000" w:rsidP="00000000" w:rsidRDefault="00000000" w:rsidRPr="00000000" w14:paraId="0000005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Subaortic (AP window) level 5: </w:t>
      </w:r>
      <w:r w:rsidDel="00000000" w:rsidR="00000000" w:rsidRPr="00000000">
        <w:rPr>
          <w:rFonts w:ascii="Gungsuh" w:cs="Gungsuh" w:eastAsia="Gungsuh" w:hAnsi="Gungsuh"/>
          <w:b w:val="0"/>
          <w:i w:val="0"/>
          <w:smallCaps w:val="0"/>
          <w:strike w:val="0"/>
          <w:color w:val="000000"/>
          <w:sz w:val="24"/>
          <w:szCs w:val="24"/>
          <w:u w:val="single"/>
          <w:shd w:fill="auto" w:val="clear"/>
          <w:vertAlign w:val="baseline"/>
          <w:rtl w:val="0"/>
        </w:rPr>
        <w:t xml:space="preserve">紫色</w:t>
      </w:r>
      <w:r w:rsidDel="00000000" w:rsidR="00000000" w:rsidRPr="00000000">
        <w:rPr>
          <w:rtl w:val="0"/>
        </w:rPr>
      </w:r>
    </w:p>
    <w:p w:rsidR="00000000" w:rsidDel="00000000" w:rsidP="00000000" w:rsidRDefault="00000000" w:rsidRPr="00000000" w14:paraId="0000005C">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Gungsuh" w:cs="Gungsuh" w:eastAsia="Gungsuh" w:hAnsi="Gungsuh"/>
          <w:b w:val="1"/>
          <w:i w:val="1"/>
          <w:smallCaps w:val="0"/>
          <w:strike w:val="0"/>
          <w:color w:val="ff0000"/>
          <w:sz w:val="24"/>
          <w:szCs w:val="24"/>
          <w:u w:val="single"/>
          <w:shd w:fill="auto" w:val="clear"/>
          <w:vertAlign w:val="baseline"/>
          <w:rtl w:val="0"/>
        </w:rPr>
        <w:t xml:space="preserve">(肺與縱膈腔腫瘤)</w:t>
      </w:r>
      <w:r w:rsidDel="00000000" w:rsidR="00000000" w:rsidRPr="00000000">
        <w:rPr>
          <w:rtl w:val="0"/>
        </w:rPr>
      </w:r>
    </w:p>
    <w:p w:rsidR="00000000" w:rsidDel="00000000" w:rsidP="00000000" w:rsidRDefault="00000000" w:rsidRPr="00000000" w14:paraId="0000005D">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中等</w:t>
      </w:r>
    </w:p>
    <w:p w:rsidR="00000000" w:rsidDel="00000000" w:rsidP="00000000" w:rsidRDefault="00000000" w:rsidRPr="00000000" w14:paraId="0000005E">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P1142</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AJCC 第8版, 紙本version, P434-435</w:t>
      </w:r>
    </w:p>
    <w:p w:rsidR="00000000" w:rsidDel="00000000" w:rsidP="00000000" w:rsidRDefault="00000000" w:rsidRPr="00000000" w14:paraId="00000060">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1: low cervical and supraclavicular lymph nodes</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2: upper paratracheal lymph nodes (dark blue contour)</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3A: prevascular lymph nodes (red contour)</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3P: retrotracheal lymph nodes (white contour)</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4: lower paratracheal lymph nodes (cyan contour)</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5: sub-aortic lymph nodes (magenta contour)</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6: paraaortic lymph nodes (green contour)</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7: subcarinal lymph nodes</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8: paraesophageal lymph nodes</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90"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9: pulmonary ligament lymph nodes</w:t>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請問RTOG 0617中，Brachial plexus的point maximal dose limit為下列何者？</w:t>
      </w:r>
    </w:p>
    <w:p w:rsidR="00000000" w:rsidDel="00000000" w:rsidP="00000000" w:rsidRDefault="00000000" w:rsidRPr="00000000" w14:paraId="0000006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Gy</w:t>
      </w:r>
    </w:p>
    <w:p w:rsidR="00000000" w:rsidDel="00000000" w:rsidP="00000000" w:rsidRDefault="00000000" w:rsidRPr="00000000" w14:paraId="0000006C">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Gy</w:t>
      </w:r>
    </w:p>
    <w:p w:rsidR="00000000" w:rsidDel="00000000" w:rsidP="00000000" w:rsidRDefault="00000000" w:rsidRPr="00000000" w14:paraId="0000006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 Gy</w:t>
      </w:r>
    </w:p>
    <w:p w:rsidR="00000000" w:rsidDel="00000000" w:rsidP="00000000" w:rsidRDefault="00000000" w:rsidRPr="00000000" w14:paraId="0000006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Gy</w:t>
      </w:r>
    </w:p>
    <w:p w:rsidR="00000000" w:rsidDel="00000000" w:rsidP="00000000" w:rsidRDefault="00000000" w:rsidRPr="00000000" w14:paraId="0000006F">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1"/>
          <w:i w:val="1"/>
          <w:smallCaps w:val="0"/>
          <w:strike w:val="0"/>
          <w:color w:val="ff0000"/>
          <w:sz w:val="24"/>
          <w:szCs w:val="24"/>
          <w:u w:val="single"/>
          <w:shd w:fill="auto" w:val="clear"/>
          <w:vertAlign w:val="baseline"/>
          <w:rtl w:val="0"/>
        </w:rPr>
        <w:t xml:space="preserve">(肺與縱膈腔腫瘤)</w:t>
      </w:r>
      <w:r w:rsidDel="00000000" w:rsidR="00000000" w:rsidRPr="00000000">
        <w:rPr>
          <w:rtl w:val="0"/>
        </w:rPr>
      </w:r>
    </w:p>
    <w:p w:rsidR="00000000" w:rsidDel="00000000" w:rsidP="00000000" w:rsidRDefault="00000000" w:rsidRPr="00000000" w14:paraId="00000070">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71">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Perez &amp; Brady’s, 7th edition, P1167</w:t>
      </w:r>
    </w:p>
    <w:p w:rsidR="00000000" w:rsidDel="00000000" w:rsidP="00000000" w:rsidRDefault="00000000" w:rsidRPr="00000000" w14:paraId="00000072">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dose tolerance of the brachial plexus is less defined than other thoracic organs. Late plexopathy is rare in patients who have received less than 60 Gy. Proposed brachial plexus dose limits for standard, fractionated radiotherapy planning vary considerably; RTOG 0617 suggests a point maximum limit of 66 Gy.</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放射治療的心臟毒性，起初於乳癌患者與淋巴癌患者受到關注，然而，近期RTOG 0617的分析顯示，心臟接受較高放射劑量的肺癌患者，整體存活率較差。請問下列何者是肺癌患者，最常見的、且與放射治療相關的，急性心臟副作用？</w:t>
      </w:r>
    </w:p>
    <w:p w:rsidR="00000000" w:rsidDel="00000000" w:rsidP="00000000" w:rsidRDefault="00000000" w:rsidRPr="00000000" w14:paraId="0000007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Pericarditis</w:t>
      </w:r>
    </w:p>
    <w:p w:rsidR="00000000" w:rsidDel="00000000" w:rsidP="00000000" w:rsidRDefault="00000000" w:rsidRPr="00000000" w14:paraId="0000007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Acute myocardial infarction</w:t>
      </w:r>
    </w:p>
    <w:p w:rsidR="00000000" w:rsidDel="00000000" w:rsidP="00000000" w:rsidRDefault="00000000" w:rsidRPr="00000000" w14:paraId="0000007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Valvular disorder</w:t>
      </w:r>
    </w:p>
    <w:p w:rsidR="00000000" w:rsidDel="00000000" w:rsidP="00000000" w:rsidRDefault="00000000" w:rsidRPr="00000000" w14:paraId="0000007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Acute heart failure</w:t>
      </w:r>
    </w:p>
    <w:p w:rsidR="00000000" w:rsidDel="00000000" w:rsidP="00000000" w:rsidRDefault="00000000" w:rsidRPr="00000000" w14:paraId="00000078">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w:t>
      </w:r>
      <w:r w:rsidDel="00000000" w:rsidR="00000000" w:rsidRPr="00000000">
        <w:rPr>
          <w:rFonts w:ascii="Gungsuh" w:cs="Gungsuh" w:eastAsia="Gungsuh" w:hAnsi="Gungsuh"/>
          <w:b w:val="1"/>
          <w:i w:val="1"/>
          <w:smallCaps w:val="0"/>
          <w:strike w:val="0"/>
          <w:color w:val="ff0000"/>
          <w:sz w:val="24"/>
          <w:szCs w:val="24"/>
          <w:u w:val="single"/>
          <w:shd w:fill="auto" w:val="clear"/>
          <w:vertAlign w:val="baseline"/>
          <w:rtl w:val="0"/>
        </w:rPr>
        <w:t xml:space="preserve">(肺與縱膈腔腫瘤)</w:t>
      </w:r>
    </w:p>
    <w:p w:rsidR="00000000" w:rsidDel="00000000" w:rsidP="00000000" w:rsidRDefault="00000000" w:rsidRPr="00000000" w14:paraId="00000079">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中等</w:t>
      </w:r>
    </w:p>
    <w:p w:rsidR="00000000" w:rsidDel="00000000" w:rsidP="00000000" w:rsidRDefault="00000000" w:rsidRPr="00000000" w14:paraId="0000007A">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P1167</w:t>
      </w:r>
    </w:p>
    <w:p w:rsidR="00000000" w:rsidDel="00000000" w:rsidP="00000000" w:rsidRDefault="00000000" w:rsidRPr="00000000" w14:paraId="0000007B">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cardiotoxicity of radiotherapy has been primarily studied after treatment for breast cancer or mediastinal lymphoma. More recently, analysis of the RTOG 0617 demonstrated the heart dose correlated with worse OS. Acute toxicities include pericarditis, which uncommonly may progress to chronic pericardial fibrosis, effusion, or even more rarely a constrictive pericarditis. Ischemic changes in the cardiac muscle can manifest after a long latency and may lead to late cardiac events. Valvular abnormities have been reported, presumably owing to late fibrotic changes. </w:t>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根據Auperin meta-analysis，Prophylactic cranial irradiation (PCI)有多種不同的劑量、療次。為了找尋PCI最適切的劑量與療次，Le Pechoux C. et al針對limited stage SCLC個案，執行multi-institutional intergroup trial，比較標準劑量PCI: 25 Gy/10fx (daily)、以及高劑量PCI: 36 Gy/18fx (daily)、36 Gy/24 fx (twice daily)的預後，請問該臨床試驗結果，下列何者正確？</w:t>
      </w:r>
    </w:p>
    <w:p w:rsidR="00000000" w:rsidDel="00000000" w:rsidP="00000000" w:rsidRDefault="00000000" w:rsidRPr="00000000" w14:paraId="0000007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year cumulative incidence of brain metastases was significantly different between 2 arms: 29% in standard dose vs 23% for high dose</w:t>
      </w:r>
    </w:p>
    <w:p w:rsidR="00000000" w:rsidDel="00000000" w:rsidP="00000000" w:rsidRDefault="00000000" w:rsidRPr="00000000" w14:paraId="0000007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Poorer OS in high dose arm: 5 year OS was 42% in the standard dose arm vs 36% for high dose.</w:t>
      </w:r>
    </w:p>
    <w:p w:rsidR="00000000" w:rsidDel="00000000" w:rsidP="00000000" w:rsidRDefault="00000000" w:rsidRPr="00000000" w14:paraId="0000007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Higher cancer-related mortality in the standard dose arm</w:t>
      </w:r>
    </w:p>
    <w:p w:rsidR="00000000" w:rsidDel="00000000" w:rsidP="00000000" w:rsidRDefault="00000000" w:rsidRPr="00000000" w14:paraId="0000008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results favor 2.5 Gy in 10 fractions as preferred regimen to deliver PCI</w:t>
      </w:r>
    </w:p>
    <w:p w:rsidR="00000000" w:rsidDel="00000000" w:rsidP="00000000" w:rsidRDefault="00000000" w:rsidRPr="00000000" w14:paraId="00000081">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Gungsuh" w:cs="Gungsuh" w:eastAsia="Gungsuh" w:hAnsi="Gungsuh"/>
          <w:b w:val="1"/>
          <w:i w:val="1"/>
          <w:smallCaps w:val="0"/>
          <w:strike w:val="0"/>
          <w:color w:val="ff0000"/>
          <w:sz w:val="24"/>
          <w:szCs w:val="24"/>
          <w:u w:val="single"/>
          <w:shd w:fill="auto" w:val="clear"/>
          <w:vertAlign w:val="baseline"/>
          <w:rtl w:val="0"/>
        </w:rPr>
        <w:t xml:space="preserve">(肺與縱膈腔腫瘤)</w:t>
      </w:r>
    </w:p>
    <w:p w:rsidR="00000000" w:rsidDel="00000000" w:rsidP="00000000" w:rsidRDefault="00000000" w:rsidRPr="00000000" w14:paraId="00000082">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中等</w:t>
      </w:r>
    </w:p>
    <w:p w:rsidR="00000000" w:rsidDel="00000000" w:rsidP="00000000" w:rsidRDefault="00000000" w:rsidRPr="00000000" w14:paraId="00000083">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P1164</w:t>
      </w:r>
    </w:p>
    <w:p w:rsidR="00000000" w:rsidDel="00000000" w:rsidP="00000000" w:rsidRDefault="00000000" w:rsidRPr="00000000" w14:paraId="00000084">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survival</w:t>
        <w:tab/>
        <w:t xml:space="preserve">benefit reported in the Auperin meta-analysis and</w:t>
        <w:tab/>
        <w:t xml:space="preserve">the EORTC trial in</w:t>
        <w:tab/>
        <w:t xml:space="preserve"> extensive-stage disease, a variety of dose and fractionation schemes were employed</w:t>
        <w:tab/>
        <w:t xml:space="preserve">to treat the patients enrolled in the</w:t>
        <w:tab/>
        <w:t xml:space="preserve">trials. To help</w:t>
        <w:tab/>
        <w:t xml:space="preserve">define the</w:t>
        <w:tab/>
        <w:t xml:space="preserve">optimal dose and fractionation for PCI,</w:t>
        <w:tab/>
        <w:t xml:space="preserve">a multi-institutional</w:t>
        <w:tab/>
        <w:t xml:space="preserve">intergroup trial was</w:t>
        <w:tab/>
        <w:t xml:space="preserve">launched</w:t>
        <w:tab/>
        <w:t xml:space="preserve">to examine standard-dose PCI versus high-dose</w:t>
        <w:tab/>
        <w:t xml:space="preserve">PCI.</w:t>
        <w:tab/>
        <w:t xml:space="preserve">Patients with limited-stage SCLC who had achieved a complete response to chemoradiotherapy were randomized to receive PCI in standard dose, 25</w:t>
        <w:tab/>
        <w:t xml:space="preserve">Gy in 10 daily</w:t>
        <w:tab/>
        <w:t xml:space="preserve">fractions,</w:t>
        <w:tab/>
        <w:t xml:space="preserve">or high-dose, 36 Gy</w:t>
        <w:tab/>
        <w:t xml:space="preserve"> in either</w:t>
        <w:tab/>
        <w:t xml:space="preserve">18 daily fractions or</w:t>
        <w:tab/>
        <w:t xml:space="preserve">24 twice-daily</w:t>
        <w:tab/>
        <w:t xml:space="preserve">fractions. In this study, 720 patients were randomized; at 2 years, the cumulative incidence of brain metastases was not significantly</w:t>
        <w:tab/>
        <w:t xml:space="preserve">different between the two arms: 29% in</w:t>
        <w:tab/>
        <w:t xml:space="preserve">the standard-dose arm versus 23%</w:t>
        <w:tab/>
        <w:t xml:space="preserve">for high dose. Surprisingly, there was poorer OS in the high-dose arm: 2-year</w:t>
        <w:tab/>
        <w:t xml:space="preserve">survival was 42% in the standard-dose arm versus 36% for high dose.</w:t>
        <w:tab/>
        <w:t xml:space="preserve">This</w:t>
        <w:tab/>
        <w:t xml:space="preserve"> was attributed to a higher</w:t>
        <w:tab/>
        <w:t xml:space="preserve"> cancer-related mortality in the high-dose arm. Patients enrolled in this trial participated in baseline and follow-up</w:t>
        <w:tab/>
        <w:t xml:space="preserve">neuropsychologic test batteries along with QOL assessments. Wolfson et</w:t>
        <w:tab/>
        <w:t xml:space="preserve">al.recently reported</w:t>
        <w:tab/>
        <w:t xml:space="preserve">the results of</w:t>
        <w:tab/>
        <w:t xml:space="preserve">these assessments and observed an</w:t>
        <w:tab/>
        <w:t xml:space="preserve">increased incidence</w:t>
        <w:tab/>
        <w:t xml:space="preserve">of chronic neurotoxicity at 12 months after PCI in</w:t>
        <w:tab/>
        <w:t xml:space="preserve"> the</w:t>
        <w:tab/>
        <w:t xml:space="preserve"> 36-Gy cohort. Taken together,</w:t>
        <w:tab/>
        <w:t xml:space="preserve"> these results establish 2.5 Gy in 10 fractions</w:t>
        <w:tab/>
        <w:t xml:space="preserve">as the current preferred regimen to deliver PCI.</w:t>
      </w:r>
    </w:p>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134" w:right="0" w:hanging="1134"/>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關於Thymic carcinoid，下列何者錯誤？</w:t>
      </w:r>
    </w:p>
    <w:p w:rsidR="00000000" w:rsidDel="00000000" w:rsidP="00000000" w:rsidRDefault="00000000" w:rsidRPr="00000000" w14:paraId="0000008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Male to female ratio 3:1</w:t>
      </w:r>
    </w:p>
    <w:p w:rsidR="00000000" w:rsidDel="00000000" w:rsidP="00000000" w:rsidRDefault="00000000" w:rsidRPr="00000000" w14:paraId="0000008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patients aged 30 to 50 years</w:t>
      </w:r>
    </w:p>
    <w:p w:rsidR="00000000" w:rsidDel="00000000" w:rsidP="00000000" w:rsidRDefault="00000000" w:rsidRPr="00000000" w14:paraId="0000008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Half of thymic carcinoid associated with MEN-1 or secondary Cushing syndrome</w:t>
      </w:r>
    </w:p>
    <w:p w:rsidR="00000000" w:rsidDel="00000000" w:rsidP="00000000" w:rsidRDefault="00000000" w:rsidRPr="00000000" w14:paraId="0000008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701" w:right="0" w:hanging="567"/>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patients were detected at early stage without lymph node or distant metastases</w:t>
      </w:r>
    </w:p>
    <w:p w:rsidR="00000000" w:rsidDel="00000000" w:rsidP="00000000" w:rsidRDefault="00000000" w:rsidRPr="00000000" w14:paraId="0000008A">
      <w:pPr>
        <w:keepNext w:val="0"/>
        <w:keepLines w:val="0"/>
        <w:widowControl w:val="1"/>
        <w:numPr>
          <w:ilvl w:val="2"/>
          <w:numId w:val="1"/>
        </w:numPr>
        <w:pBdr>
          <w:top w:space="0" w:sz="0" w:val="nil"/>
          <w:left w:space="0" w:sz="0" w:val="nil"/>
          <w:bottom w:space="0" w:sz="0" w:val="nil"/>
          <w:right w:space="0" w:sz="0" w:val="nil"/>
          <w:between w:space="0" w:sz="0" w:val="nil"/>
        </w:pBdr>
        <w:shd w:fill="auto" w:val="clear"/>
        <w:tabs>
          <w:tab w:val="left" w:pos="2835"/>
        </w:tabs>
        <w:spacing w:after="120" w:before="120" w:line="240" w:lineRule="auto"/>
        <w:ind w:left="2268" w:right="0" w:hanging="1134"/>
        <w:jc w:val="left"/>
        <w:rPr>
          <w:rFonts w:ascii="Times New Roman" w:cs="Times New Roman" w:eastAsia="Times New Roman" w:hAnsi="Times New Roman"/>
          <w:i w:val="1"/>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 </w:t>
      </w:r>
      <w:r w:rsidDel="00000000" w:rsidR="00000000" w:rsidRPr="00000000">
        <w:rPr>
          <w:rFonts w:ascii="Gungsuh" w:cs="Gungsuh" w:eastAsia="Gungsuh" w:hAnsi="Gungsuh"/>
          <w:b w:val="1"/>
          <w:i w:val="1"/>
          <w:smallCaps w:val="0"/>
          <w:strike w:val="0"/>
          <w:color w:val="ff0000"/>
          <w:sz w:val="24"/>
          <w:szCs w:val="24"/>
          <w:u w:val="single"/>
          <w:shd w:fill="auto" w:val="clear"/>
          <w:vertAlign w:val="baseline"/>
          <w:rtl w:val="0"/>
        </w:rPr>
        <w:t xml:space="preserve">(肺與縱膈腔腫瘤)</w:t>
      </w:r>
    </w:p>
    <w:p w:rsidR="00000000" w:rsidDel="00000000" w:rsidP="00000000" w:rsidRDefault="00000000" w:rsidRPr="00000000" w14:paraId="0000008B">
      <w:pPr>
        <w:keepNext w:val="0"/>
        <w:keepLines w:val="0"/>
        <w:widowControl w:val="1"/>
        <w:numPr>
          <w:ilvl w:val="3"/>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3969" w:right="0" w:hanging="1133.9999999999998"/>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中等</w:t>
      </w:r>
    </w:p>
    <w:p w:rsidR="00000000" w:rsidDel="00000000" w:rsidP="00000000" w:rsidRDefault="00000000" w:rsidRPr="00000000" w14:paraId="0000008C">
      <w:pPr>
        <w:keepNext w:val="0"/>
        <w:keepLines w:val="0"/>
        <w:widowControl w:val="1"/>
        <w:numPr>
          <w:ilvl w:val="4"/>
          <w:numId w:val="1"/>
        </w:numPr>
        <w:pBdr>
          <w:top w:space="0" w:sz="0" w:val="nil"/>
          <w:left w:space="0" w:sz="0" w:val="nil"/>
          <w:bottom w:space="0" w:sz="0" w:val="nil"/>
          <w:right w:space="0" w:sz="0" w:val="nil"/>
          <w:between w:space="0" w:sz="0" w:val="nil"/>
        </w:pBdr>
        <w:shd w:fill="auto" w:val="clear"/>
        <w:tabs>
          <w:tab w:val="left" w:pos="2835"/>
        </w:tabs>
        <w:spacing w:after="120" w:before="0" w:line="240" w:lineRule="auto"/>
        <w:ind w:left="4962" w:right="0" w:hanging="1700.9999999999995"/>
        <w:jc w:val="left"/>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Perez &amp; Brady’s, 7th edition, 紙本version, P1186</w:t>
      </w:r>
    </w:p>
    <w:p w:rsidR="00000000" w:rsidDel="00000000" w:rsidP="00000000" w:rsidRDefault="00000000" w:rsidRPr="00000000" w14:paraId="0000008D">
      <w:pPr>
        <w:keepNext w:val="0"/>
        <w:keepLines w:val="0"/>
        <w:widowControl w:val="1"/>
        <w:numPr>
          <w:ilvl w:val="5"/>
          <w:numId w:val="1"/>
        </w:numPr>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170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patients with thymic carcinoid are men aged 30 to 50 years; the male-to-female ratio is</w:t>
        <w:tab/>
        <w:t xml:space="preserve">3 to 1. Roughly half of thyroid carcinoids are associated with endocrine</w:t>
        <w:tab/>
        <w:t xml:space="preserve">disorders such as MEN-1 [multiple endocrine neoplasia type 1] or secondary</w:t>
        <w:tab/>
        <w:t xml:space="preserve">Cushing syndrome. Most thymic carcinoids detected on</w:t>
        <w:tab/>
        <w:t xml:space="preserve">radiographic studies are already advanced, commonly metastasizing to regional lymph nodes.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left" w:pos="2835"/>
        </w:tabs>
        <w:spacing w:after="0" w:before="0" w:line="240" w:lineRule="auto"/>
        <w:ind w:left="2835" w:right="0" w:hanging="425.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6838" w:w="11906"/>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        )"/>
      <w:lvlJc w:val="left"/>
      <w:pPr>
        <w:ind w:left="1134" w:hanging="1134"/>
      </w:pPr>
      <w:rPr/>
    </w:lvl>
    <w:lvl w:ilvl="1">
      <w:start w:val="1"/>
      <w:numFmt w:val="upperLetter"/>
      <w:lvlText w:val="%2)"/>
      <w:lvlJc w:val="left"/>
      <w:pPr>
        <w:ind w:left="1701" w:hanging="567"/>
      </w:pPr>
      <w:rPr/>
    </w:lvl>
    <w:lvl w:ilvl="2">
      <w:start w:val="1"/>
      <w:numFmt w:val="decimal"/>
      <w:lvlText w:val="(%3 答案):"/>
      <w:lvlJc w:val="left"/>
      <w:pPr>
        <w:ind w:left="2268" w:hanging="1134"/>
      </w:pPr>
      <w:rPr>
        <w:b w:val="1"/>
        <w:color w:val="000000"/>
      </w:rPr>
    </w:lvl>
    <w:lvl w:ilvl="3">
      <w:start w:val="1"/>
      <w:numFmt w:val="decimal"/>
      <w:lvlText w:val="(%4 難易度):"/>
      <w:lvlJc w:val="left"/>
      <w:pPr>
        <w:ind w:left="3969" w:hanging="1134"/>
      </w:pPr>
      <w:rPr/>
    </w:lvl>
    <w:lvl w:ilvl="4">
      <w:start w:val="1"/>
      <w:numFmt w:val="decimal"/>
      <w:lvlText w:val="(%5 參考文獻): "/>
      <w:lvlJc w:val="left"/>
      <w:pPr>
        <w:ind w:left="4962" w:hanging="1701"/>
      </w:pPr>
      <w:rPr/>
    </w:lvl>
    <w:lvl w:ilvl="5">
      <w:start w:val="1"/>
      <w:numFmt w:val="decimal"/>
      <w:lvlText w:val="(%6 註解):"/>
      <w:lvlJc w:val="left"/>
      <w:pPr>
        <w:ind w:left="2835" w:hanging="1701"/>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