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7" w:right="0" w:hanging="307"/>
        <w:jc w:val="left"/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109年放射腫瘤科專科醫師甄審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7621</wp:posOffset>
                </wp:positionV>
                <wp:extent cx="1687830" cy="39624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21135" y="3600930"/>
                          <a:ext cx="1649730" cy="35814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cap="flat" cmpd="sng" w="38100">
                          <a:solidFill>
                            <a:srgbClr val="F2F2F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考前出題委員專用版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7621</wp:posOffset>
                </wp:positionV>
                <wp:extent cx="1687830" cy="396240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7830" cy="396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1" w:right="0" w:hanging="461"/>
        <w:jc w:val="center"/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考前題庫出題格式說明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5" w:right="0" w:hanging="205"/>
        <w:jc w:val="left"/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8" w:right="0" w:hanging="358"/>
        <w:jc w:val="left"/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※請依照下列步驟將考題繕打於下一頁: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8" w:right="0" w:hanging="35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請依下一頁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標準範例格式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繕打考題(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請依規定出題數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)，並請委員出完題數後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ff"/>
          <w:sz w:val="28"/>
          <w:szCs w:val="28"/>
          <w:u w:val="single"/>
          <w:shd w:fill="auto" w:val="clear"/>
          <w:vertAlign w:val="baseline"/>
          <w:rtl w:val="0"/>
        </w:rPr>
        <w:t xml:space="preserve">檔案另存新檔時，請於檔名註明委員姓名及題數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，並請mail至學會信箱tastro@tastro.org.tw，以利考題統整及事後查核，謝謝！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註：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符合出題格式之委員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，將由學會於會後給付出題酬勞費予出題委員(100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元/題)，故請於出題後檔案務必註明出題者及題數，謝謝！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61"/>
        <w:jc w:val="both"/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※題目請以</w:t>
      </w:r>
      <w:r w:rsidDel="00000000" w:rsidR="00000000" w:rsidRPr="00000000">
        <w:rPr>
          <w:rFonts w:ascii="BiauKai" w:cs="BiauKai" w:eastAsia="BiauKai" w:hAnsi="BiauKai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中文出題(限定)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，但專有名詞應用英文(免加註中文)。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61"/>
        <w:jc w:val="both"/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※題目類型為</w:t>
      </w:r>
      <w:r w:rsidDel="00000000" w:rsidR="00000000" w:rsidRPr="00000000">
        <w:rPr>
          <w:rFonts w:ascii="BiauKai" w:cs="BiauKai" w:eastAsia="BiauKai" w:hAnsi="BiauKai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四選一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，禁出</w:t>
      </w:r>
      <w:r w:rsidDel="00000000" w:rsidR="00000000" w:rsidRPr="00000000">
        <w:rPr>
          <w:rFonts w:ascii="BiauKai" w:cs="BiauKai" w:eastAsia="BiauKai" w:hAnsi="BiauKai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『以上皆非或是以上皆是』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之選項。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61"/>
        <w:jc w:val="both"/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※參考文獻為教科書，排除期刊，考trial需是教科書中有寫的。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61"/>
        <w:jc w:val="both"/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※AJCC第八版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61"/>
        <w:jc w:val="both"/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※題目及選項文字切勿太過冗長。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61"/>
        <w:jc w:val="both"/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※出題時務必註明該題的</w:t>
      </w:r>
      <w:r w:rsidDel="00000000" w:rsidR="00000000" w:rsidRPr="00000000">
        <w:rPr>
          <w:rFonts w:ascii="BiauKai" w:cs="BiauKai" w:eastAsia="BiauKai" w:hAnsi="BiauKai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「出處」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8" w:right="0" w:hanging="358"/>
        <w:jc w:val="both"/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本格式已設定好樣式，故請依下一頁範例格式繕打，切勿更改其樣式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8" w:right="0" w:hanging="358"/>
        <w:jc w:val="both"/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開始撰打考題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先於工作列上點選”</w:t>
      </w:r>
      <w:r w:rsidDel="00000000" w:rsidR="00000000" w:rsidRPr="00000000">
        <w:rPr>
          <w:rFonts w:ascii="BiauKai" w:cs="BiauKai" w:eastAsia="BiauKai" w:hAnsi="BiauKa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格式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”，下拉式選單中點選”</w:t>
      </w:r>
      <w:r w:rsidDel="00000000" w:rsidR="00000000" w:rsidRPr="00000000">
        <w:rPr>
          <w:rFonts w:ascii="BiauKai" w:cs="BiauKai" w:eastAsia="BiauKai" w:hAnsi="BiauKa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樣式與格式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”，該樣式的格式設定將會出現在螢幕的右方，請使用該格式來控制考題的格式。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4" w:right="0" w:hanging="48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singl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點選Question:可用來控制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題號(題目)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4" w:right="0" w:hanging="48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點選Choice:可用來控制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答案選項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，自動產生A) B) C) D)，若續按Enter會繼續產生E) F)…選項，需到樣式選項點選Answer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4" w:right="0" w:hanging="48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點選Answer:可用來控制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答案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格式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(本項請再文字註明，出題的小組科別細項)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4" w:right="0" w:hanging="48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點選QuizLevel: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難易度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4" w:right="0" w:hanging="48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Ref: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參考文獻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4" w:right="0" w:hanging="48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Comment: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註解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(文字請限於4行內)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9" w:right="0" w:hanging="283"/>
        <w:jc w:val="both"/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d9d9d9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d9d9d9" w:val="clear"/>
          <w:vertAlign w:val="baseline"/>
          <w:rtl w:val="0"/>
        </w:rPr>
        <w:t xml:space="preserve">4.以上步驟若無法執行，請您用</w:t>
      </w:r>
      <w:r w:rsidDel="00000000" w:rsidR="00000000" w:rsidRPr="00000000">
        <w:rPr>
          <w:rFonts w:ascii="BiauKai" w:cs="BiauKai" w:eastAsia="BiauKai" w:hAnsi="BiauKai"/>
          <w:b w:val="1"/>
          <w:i w:val="0"/>
          <w:smallCaps w:val="0"/>
          <w:strike w:val="0"/>
          <w:color w:val="000000"/>
          <w:sz w:val="28"/>
          <w:szCs w:val="28"/>
          <w:u w:val="single"/>
          <w:shd w:fill="d9d9d9" w:val="clear"/>
          <w:vertAlign w:val="baseline"/>
          <w:rtl w:val="0"/>
        </w:rPr>
        <w:t xml:space="preserve">複製的方式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d9d9d9" w:val="clear"/>
          <w:vertAlign w:val="baseline"/>
          <w:rtl w:val="0"/>
        </w:rPr>
        <w:t xml:space="preserve">，將下頁的範例題目複製後，貼上出題次數，然後將原內容文字刪除，保留格式，再將新的考題內容文字加入。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d9d9d9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貼心提醒：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請各委員於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109.06.22(星期一)前將出題檔MAIL至本會專屬信箱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tastro@tastro.org.tw，信件主旨請註明：109年甄審考前出題xxx委員xx科目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BiauKai" w:cs="BiauKai" w:eastAsia="BiauKai" w:hAnsi="BiauKai"/>
          <w:b w:val="1"/>
          <w:i w:val="0"/>
          <w:smallCaps w:val="0"/>
          <w:strike w:val="0"/>
          <w:color w:val="0000ff"/>
          <w:sz w:val="28"/>
          <w:szCs w:val="28"/>
          <w:highlight w:val="yellow"/>
          <w:u w:val="none"/>
          <w:vertAlign w:val="baseline"/>
          <w:rtl w:val="0"/>
        </w:rPr>
        <w:t xml:space="preserve">附檔-保密協議書填寫完後亦請於109.06.22日前一併與考題mail回傳本會信箱，謝謝！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d9d9d9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「請各出題委員繕打考題時，一定要使用此格式，請勿自行變更該格式」謝謝！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「以下為範例出題格式，請各委員出題時，請以下列格式繕打，切勿變更其格式，謝謝！」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有關耳朵腫瘤之描述，下列何者為誤？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在外耳(external ear)腫瘤中，最常見的是basal cell carcinoma，發生率大約是squamous cell carcinoma的1.3倍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外耳的squamous cell carcinoma約15%有淋巴轉移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根據AJCC分期，侵犯到temporal bone屬於T3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外耳的squamous cell carcinoma進行Moh’s surgery後，局部復發率約為15%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(ear)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中等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P.877, If squamous cell carcinoma of the external ear is treated with surgery alone, there is a recurrence rate of 14% to 19%. Mohs surgery is another option, with reported local recurrence rates of 5% to 7%.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有關唾腺腫瘤(Salivary gland neoplasm)之描述，下列何者為誤？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發生在兒童的唾腺腫瘤只佔3%，其中三分之一為惡性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缺乏Vitamin A and C是唾腺腫瘤的risk factor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曾在髮廊工作的女性有較高的發生率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患有salivary gland cancer的女性有較高罹患乳癌的風險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(salivary gland)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易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P.958, Two to three percent of salivary neoplasms occur in children, in whom half of the tumors are malignant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有關I-131於甲狀腺治療之描述，下列何者為誤？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I-131在extrathyroidal tissue之半衰期僅12天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主要透過釋放25-80keV的beta particle來殺害癌細胞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根據University of Florida Department of Radiation Oncology之建議，有Extranodal extension但未達extensive者，可使用150mCi I-131做術後輔助治療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I-131治療有可能會造成提早停經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(thyroid)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中等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P.1131, This first transition results in a beta particle with a range of energies from 250 to 800 keV. These beta particles are core to I-131’s ability to deliver targeted cytotoxicity.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有關unknown primary cancer of neck之描述，下列何者為誤？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最常有淋巴轉移的位置是level II和level III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若primary site不是nasopharynx，retropharyngeal lymph node involved的機會小於15%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臨床上大於五公分的淋巴結，幾乎可以斷定為惡性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若淋巴結在影像上小於2公分，只有不到三分之一會在病理切片中看到extranodal extension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(unkwon primary of neck)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中等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P.1105, around 20% soft palate and pharyngeal wall tumor will develop retropharyngeal wall nodal metastases.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有關laryngeal cancer之描述，下列何者為誤？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吸菸會提高罹癌風險，戒菸至少需10年才會與未曾吸菸者有相同的罹癌機率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吸食大麻(marijuana)可能與年輕人罹患癌症有關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酒精是否為危險因子目前並無定論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Glottic carcinoma與supraglottic carcinoma的發生率約為3:1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(laryngeal cancer)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易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P.1045, The ratio of glottic to supraglottic carcinoma is approximately 2:1.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有關上頷癌(maxillary cancer)之描述，下列何者為誤？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鱗狀細胞癌(squamous cell carcinoma)淋巴轉移機率約為20%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經治療後約有30%病人會產生locoregional relapse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最常侵犯的淋巴位置是subdigastric and submandibular nodes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腺細胞癌(adenocarcinoma)淋巴轉移機率約為15%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(maxillary cancer)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易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Perez, p.938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incidence of nodal spread, however, varies with the histologic type (17%, or 5 of 29 patients with squamous cell or poorly differentiated carcinomas, vs. 4%, or 1 of 27 for patients with adenocarcinoma, adenoid cystic carcinoma, or mucoepidermoid carcinoma).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關於眼睛局部照射的副作用，下列何者為誤？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睫毛脫落可能會在20Gy前發生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25Gy即可造成乾眼(Xerophthalmia)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急性結膜炎(acute conjunctivitis)在30Gy後常常發生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高劑量照射(&gt;57Gy)在6個月就有可能造成dry eye syndrome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(eye)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中等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P.859, Moderate-dose orbital RT (30 to 45 Gy) can cause dry eye syndrome 4 to 11 years after treatment, whereas higher doses (&gt;57 Gy) can produce it in 9 to 10 months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關於口腔癌手術治療之敘述，下列何者為誤？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在臨床分級有淋巴轉移的患者中，約有15%患者在術後檢體發現level III or IV的淋巴轉移，但沒有在level I or II發現癌細胞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若術後手術切緣有癌細胞殘存，再進行切除達到negative margin與一開始就達到negative margin的病患相比，有相同的預後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radical or modified neck dissections為術前臨床淋巴結陽性的主要治療方式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腫瘤侵犯深度大於4mm會增加occult metastasis 以及late cervical recurrences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(buccal cancer)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易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P.987, The use of radical and modified neck dissections is typically reserved for patients with advanced nodal disease (N3),diseas extending into level V, or invading critical structures in the neck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下列有關鼻咽癌(NPC)的描述，何者為誤？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依照AJCC 8th分期，腫瘤侵犯paranasal sinus為T3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依照AJCC 8th分期，腫瘤侵犯Prevertebral muscle為T2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初診斷淋巴轉移機率高達85%，雙側淋巴都侵犯高達50%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初診斷遠端轉移機率低於15%，好發位置依序為lung、bone、liver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(Nasopharynx)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易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P.904, Hematogenous Dissemination : The bone is the most common distant metastatic site followed by the lungs and liver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下列幾種唾液腺癌的病理組織型態，何者預後比較好？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Salivary gland cystadenocarcinoma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Salivary duct carcinoma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Myoepithelial carcinoma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Mucinous adenocarcinoma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(Salivary Glands)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中等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P.962, Salivary gland cystadenocarcinoma is a low-grade tumor, predominantly localized in the parotid gland. It has an excellent prognosis.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鼻咽癌，Sun Yat-sen University發表在2016 Lancet oncology phase III study，針對同步放化療之前有無使用誘導性化療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induction chemotherapy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docetaxel, cisplatin, and fluorouracil之研究，下列敘述何者錯誤？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收錄stage III、IV，但排除T3-4N0之鼻咽癌患者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實驗組接受3個cycle誘導性化療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使用誘導性化療組能增進3-year failure-free survival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使用誘導性化療組無法改善3-year overall survival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(Nasopharynx)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中等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P.921, In a multicenter phase III study conducted by Sun Yat-sen University, 480 patients with stage III to IVB NPC were randomized to cisplatin chemoradiation with or without docetaxel, cisplatin, and fluorouracil induction therapy. With median follow-up of 45 months, patients treated with induction chemotherapy had significantly improved 3-year failure-free survival (80% vs. 72%, P = .034), overall survival (92% vs. 86%, P = .029)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RTOG 0522為探討頭頸癌比較同步化放療有無合併使用cetuximab之研究，下列敘述何者錯誤？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此研究口咽癌患者佔大多數，但未收錄鼻咽癌患者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合併使用cetuximab無法增進disease-free survival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合併使用cetuximab無法增進overall survival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合併使用cetuximab會增加grade 3 to 4 mucositis、dysphagia等副作用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(Oropharynx)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中等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P.1016, RTOG 0522, which compared … The combination of cisplatin, cetuximab, and radiotherapy did not improve locoregional control, disease-free survival, or overall survival. However, this triplet therapy was associated with increased grade 3 to 4 mucositis (43.2% vs. 33.3%, P = .002) and skin reactions (25% vs. 15%, P &lt; .0001) without increasing grade 3 to 4 dysphagia rates (53% vs. 57%, P = .27).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PARADIGM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發表於2013 Lancet Oncol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）為探討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頭頸癌於同步化放療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CCRT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前有無使用誘導性化療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induction chemotherapy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之研究，下列敘述何者錯誤？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誘導性化療使用docetaxel, cisplatin, and fluorouracil (TPF) x 3 cycle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使用誘導性化療能改善progression-free survival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使用誘導性化療對overall survival卻無任何幫助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使用誘導性化療組有比較高比例的febrile neutropenia副作用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(Locally Advanced Squamous Carcinoma of the Head and Neck)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易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P.895, Two phase III studies, DeCIDE and PARADIGM, which compared induction chemotherapy followed by concurrent chemoradiotherapy to concurrent CRT alone failed to show a survival advantage with the sequential treatment strategy.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下列有關carcinoma of glottic larynx</w:t>
      </w:r>
      <w:r w:rsidDel="00000000" w:rsidR="00000000" w:rsidRPr="00000000">
        <w:rPr>
          <w:rFonts w:ascii="BiauKai" w:cs="BiauKai" w:eastAsia="BiauKai" w:hAnsi="Biau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敘述何者正確？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Yamazaki研究指出對T1N0患者2.25 Gy/fx與2 Gy/fx有等同local control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VA trial指出對stage III、IV患者induction chemotherapy + RT比total laryngectomy + RT有更好的overall survival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RTOG 91-11指出對stage III、IV患者CCRT比induction chemotherapy + RT或RT alone能有更好的overall survival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NCCN guideline對T4a患者建議開刀為首選治療方式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(Laryngeal cancer)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中等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Perez、NCCN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P.1058 A) Radiation Therapy Technique: Yamakazi et al. reported a prospective trial in which patients with T1 N0 …. at 2.0 Gy per fraction or 2.25 Gy per fraction. The 5-year local control rates were 77% after 2.0 Gy per fraction and 92% after Gy per fraction (P = .004); B) Laryngectomy versus organ preservation: The VA Trial. stage III and IV… that induction chemotherapy + RT produced equivalent survival to total laryngectomy + RT. ; C) Advanced Vocal Cord Carcinoma: A randomized intergroup trial (RTOG 91-11) compared three treatment arms…. The 5-year survival rates were similar for the three treatment groups: arm A, 55%; arm B, 54%; and arm C, 56%.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RTOG 0129為頭頸癌比較conventionally fractionated與accelerated fractionated chemoradiotherapy之研究，下列何者錯誤？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使用同步化療藥物為cisplatin alone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accelerated fractionated group不會增進locoregional control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accelerated fractionated group有較高的acute G3-5 toxicity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accelerated fractionated group不會增加late G3-5 toxicity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(Oropharynx)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中等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Perez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numPr>
          <w:ilvl w:val="5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P.892, RTOG 0129 randomized patients to 72 Gy accelerated concomitant boost radiotherapy with two cycles of cisplatin 100 mg/m2 or to 70 Gy daily radiotherapy with three cycles of cisplatin 100 mg/m2. Again, there was no benefit to accelerated chemoradiotherapy seen in 8-year overall survival (accelerated 47.6% vs. conventional 47.7%), locoregional progression (36.7% vs. 38.5%), or worst grade 3 to 5 toxicity (37.9% vs. 36.5%).</w:t>
      </w:r>
    </w:p>
    <w:sectPr>
      <w:pgSz w:h="16838" w:w="11906"/>
      <w:pgMar w:bottom="851" w:top="851" w:left="851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BiauKai"/>
  <w:font w:name="Times New Roman"/>
  <w:font w:name="Gungsuh"/>
  <w:font w:name="Symbo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17" w:hanging="360"/>
      </w:pPr>
      <w:rPr>
        <w:b w:val="0"/>
        <w:color w:val="000000"/>
        <w:vertAlign w:val="baseline"/>
      </w:rPr>
    </w:lvl>
    <w:lvl w:ilvl="1">
      <w:start w:val="1"/>
      <w:numFmt w:val="decimal"/>
      <w:lvlText w:val="%2、"/>
      <w:lvlJc w:val="left"/>
      <w:pPr>
        <w:ind w:left="1317" w:hanging="480.0000000000001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7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277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757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237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717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4197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677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960" w:hanging="480"/>
      </w:pPr>
      <w:rPr>
        <w:sz w:val="28"/>
        <w:szCs w:val="28"/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lowerLetter"/>
      <w:lvlText w:val="%4."/>
      <w:lvlJc w:val="left"/>
      <w:pPr>
        <w:ind w:left="1920" w:hanging="480"/>
      </w:pPr>
      <w:rPr>
        <w:sz w:val="28"/>
        <w:szCs w:val="28"/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3">
    <w:lvl w:ilvl="0">
      <w:start w:val="1"/>
      <w:numFmt w:val="decimal"/>
      <w:lvlText w:val="%1. (        )"/>
      <w:lvlJc w:val="left"/>
      <w:pPr>
        <w:ind w:left="1134" w:hanging="1134"/>
      </w:pPr>
      <w:rPr>
        <w:vertAlign w:val="baseline"/>
      </w:rPr>
    </w:lvl>
    <w:lvl w:ilvl="1">
      <w:start w:val="1"/>
      <w:numFmt w:val="upperLetter"/>
      <w:lvlText w:val="%2)"/>
      <w:lvlJc w:val="left"/>
      <w:pPr>
        <w:ind w:left="1701" w:hanging="567"/>
      </w:pPr>
      <w:rPr>
        <w:vertAlign w:val="baseline"/>
      </w:rPr>
    </w:lvl>
    <w:lvl w:ilvl="2">
      <w:start w:val="1"/>
      <w:numFmt w:val="decimal"/>
      <w:lvlText w:val="(%3 答案):"/>
      <w:lvlJc w:val="left"/>
      <w:pPr>
        <w:ind w:left="2268" w:hanging="1134"/>
      </w:pPr>
      <w:rPr>
        <w:color w:val="000000"/>
        <w:vertAlign w:val="baseline"/>
      </w:rPr>
    </w:lvl>
    <w:lvl w:ilvl="3">
      <w:start w:val="1"/>
      <w:numFmt w:val="decimal"/>
      <w:lvlText w:val="(%4 難易度):"/>
      <w:lvlJc w:val="left"/>
      <w:pPr>
        <w:ind w:left="2268" w:hanging="1134"/>
      </w:pPr>
      <w:rPr>
        <w:vertAlign w:val="baseline"/>
      </w:rPr>
    </w:lvl>
    <w:lvl w:ilvl="4">
      <w:start w:val="1"/>
      <w:numFmt w:val="decimal"/>
      <w:lvlText w:val="(%5 參考文獻): "/>
      <w:lvlJc w:val="left"/>
      <w:pPr>
        <w:ind w:left="2835" w:hanging="1701"/>
      </w:pPr>
      <w:rPr>
        <w:vertAlign w:val="baseline"/>
      </w:rPr>
    </w:lvl>
    <w:lvl w:ilvl="5">
      <w:start w:val="1"/>
      <w:numFmt w:val="decimal"/>
      <w:lvlText w:val="(%6 註解):"/>
      <w:lvlJc w:val="left"/>
      <w:pPr>
        <w:ind w:left="2835" w:hanging="1701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