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有關甲狀腺癌的敘述，下列敘述何者為誤？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Papillary thyroid carcinoma最常見的甲狀腺癌病理組織分化，且是甲狀腺癌中預後最好的。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甲狀腺癌的重要預後因子包括histology，年紀，腫瘤大小，放射性碘的濃度(radioactive iodine concentration)。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診斷為anaplastic thyroid carcinoma的病人數佔全部甲狀腺癌的比例&lt;5%，但卻造成約20~50%的甲狀腺癌死亡數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Differentiated papillary carcinoma的預後較好，其中tall cell及columnar cell variants的預後最佳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(甲狀腺癌)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易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Principle and Practice of Radiation Oncology, 6th ed, 2013, Chapter 50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P920. PTC is the most common histologic type, representing approximately 80% to 90% of all thyroid cancer diagnosis, and the has the best prognosis of all thyroid malignancies.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P926 Table 50.5. Prognostic factors included age, gender, family history, tumor size, focality/laterality, extrathyroid extension, histologic grade, lymph node metastasis, distant metastasis, and radioactive iodine concentration.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P921. ATC comprise &lt; 5% of all malignant thyroid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neoplasms. This is the most aggressive form of thyroid carcinoma, accounting for 14% to 50% of all thyroid cancer deaths.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P920. Tall cell and columnar variants are commonly associated with poor prognostic features.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有關甲狀腺癌的敘述，下列敘述何者為誤？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Hürthle cell carcinoma及poorly differentiated carcinoma較不會吸收Radioactive Iodine。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Medullary thyroid carcinoma origin為parafollicular C cell，因此不會吸收Radioactive Iodine。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兒童時期接受過頭頸部RT會增加thyroid cancer發生機率，且通常為分化差且預後較差的腫瘤。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甲狀腺癌最容易發生遠端轉移的位置為lung。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 (甲狀腺癌)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中等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Principle and Practice of Radiation Oncology, 6th ed, 2013, Chapter 50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(B) P921 Table 50.2.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Frequent do not concentrate RAI: Tall cell and columnar cell variants of papillary carcinoma, Hürthle cell carcinoma, Poorly differentiated carcinoma.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880" w:right="0" w:hanging="28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Never concentrate RAI: Anaplastic carcinoma, Medullary carcinoma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P922. Radiation-induced thyroid cancer is pathologically indistinguishable from spontaneous forms of the disease and is not associated with more aggressive biology or poorer prognosis.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P927. Roughly 10% of the patients with PTC and 25% of those with FC develop distant metastasis, with the lungs being the most common site of involvement.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關於RT對甲狀腺癌的治療結果，下列敘述何者有誤？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根據PMH experience (Brierley et al. 2005)，differentiated thyroid cancer手術後若發現有microscopic residual disease，則給予術後放射線治療可提升局部控制率。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根據PMH experience (Brierley et al. 2005)，differentiated thyroid cancer手術後，針對高風險族群包括:年紀&gt;60歲，margin positive或extrathyroid extension，給予術後放射線治療可增加cause-specific survival。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根據Hong Kong experience (Chow et al. 2002)，papillary thyroid cancer接受thyroidectomy後，發現有microscopic residual tumor，則給予術後放射線治療可提升局部控制率。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根據Kim et al.在2003年發表的文章，pT4 or node positive的differentiated thyroid cancer的病人，在接受過手術及I-131的治療後，接受術後放射線治療可提升局部控制率。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(甲狀腺癌)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難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Principle and Practice of Radiation Oncology, 6th ed, 2013, Chapter 50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P933, Table 50.14.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Gross residual tumor after thyroidectomy給予術後放射線治療才有local regional control benefit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有關甲狀腺癌的敘述，下列何者有誤？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Papillary carcinoma及follicular carcinoma屬於differentiated cancer，大部分會吸收I-131，預後較好。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Insular thyroid carcinoma origin為poorly-differentiated cancer，對I-131吸收較差，預後比Papillary carcinoma差。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Anaplastic thyroid carcinoma發生機率低，腫瘤不吸收I-131，預後很差。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Medullary thyroid carcinoma中有部分腫瘤會吸收I-131，預後跟follicular carcinoma相似。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(甲狀腺癌)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易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Principle and Practice of Radiation Oncology, 6th ed, 2013, Chapter 50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P921. Medullary thyroid carcinoma never concentrate RAI，預後比follicular carcinoma差。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關甲狀癌(thyroid cancer)之描述，下列何者為是？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Thyroglobulin是常用的生化指數，可用於所有甲狀腺癌患者的追蹤。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根據AJCC 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edition，年紀小於45歲的differentiated thyroid cancer只有stage I及stage II兩種期別。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Thyroid cancer於AJCC staging均可區分為I-IV期，主要是依據年紀，腫瘤大小，有無淋巴轉移，有無遠端轉移來決定分期。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抑制TSH的表現，有助於減少differentiated thyroid carcinoma的復發。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(甲狀腺癌)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中等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Principle and Practice of Radiation Oncology, 6th ed, 2013, Chapter 50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P935. Thyroglobulin (Tg)適用於differentiated thyroid carcinoma的追蹤。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AJCC 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edition: &lt; 55歲。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AJCC 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edition: Anaplastic carcinoma全屬於第四期。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有關甲狀腺癌(thyroid cancer)之敘述，下列何者為誤？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甲狀腺癌最易移轉的頸部淋巴結為level 6。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以疾病預後來看papillary thyroid cancer &gt; follicular carcinoma &gt; anaplastic carcinoma。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Follicular carcinoma較papillary thyroid cancer容易淋巴轉移。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Thyroid cancer 最容易遠端轉移之處為肺部。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9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(甲狀腺)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中等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Peres and Brady’s – Principles and Practice of Radiation Oncology, 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edition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(C) P927. Lymph node metastases are more common with papillary thyroid cancer than follicular cancer (46% vs. 25%)。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有關甲狀腺癌的治療，下列敘述何者為誤？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對於Differentiated thyroid carcinoma，維持較高的TSH level對腫瘤控制有好處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若為復發高風險的Hürthle cell carcinoma，應維持TSH level &lt; 0.1 mU/L，且需注意是否攝取足夠的calcium及vitamin D。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若為低復發風險的甲狀腺癌，應維持TSH level在0.1-0.5 mU/L。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使用levothyroxine使應注意補充鈣及維生素D。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9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(甲狀腺)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易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NCCN Guideline Version 2.2019. Thyroid Carcinoma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113780" cy="22440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24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34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關Medullary thyroid carcinoma之敘述，下列何者為非？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來源於parafollicular C-cells。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80%來自於familial multiple endocrine neoplasia (MEN) type II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 2A包含有medullary thyroid carcinoma, pheochromocytomas, and parathyroid tumors。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 2B包含有medullary thyroid carcinoma, pheochromocytomas, Marfanoid habitus, and mucosal neuromas。。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12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(甲狀腺癌)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268" w:right="0" w:hanging="11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中等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35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K. Hansen, Mack Roach III, et al. Handbook of Evidence-based Radiation Oncology,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edition. Chapter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</w:tabs>
        <w:spacing w:after="120" w:before="0" w:line="240" w:lineRule="auto"/>
        <w:ind w:left="2835" w:right="0" w:hanging="17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P245. 20%。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8"/>
      <w:numFmt w:val="decimal"/>
      <w:lvlText w:val="%1. (        )"/>
      <w:lvlJc w:val="left"/>
      <w:pPr>
        <w:ind w:left="1134" w:hanging="1134"/>
      </w:pPr>
      <w:rPr>
        <w:vertAlign w:val="baseline"/>
      </w:rPr>
    </w:lvl>
    <w:lvl w:ilvl="1">
      <w:start w:val="4"/>
      <w:numFmt w:val="upperLetter"/>
      <w:lvlText w:val="%2)"/>
      <w:lvlJc w:val="left"/>
      <w:pPr>
        <w:ind w:left="1701" w:hanging="567"/>
      </w:pPr>
      <w:rPr>
        <w:vertAlign w:val="baseline"/>
      </w:rPr>
    </w:lvl>
    <w:lvl w:ilvl="2">
      <w:start w:val="8"/>
      <w:numFmt w:val="decimal"/>
      <w:lvlText w:val="(%3 答案):"/>
      <w:lvlJc w:val="left"/>
      <w:pPr>
        <w:ind w:left="2269" w:hanging="1134"/>
      </w:pPr>
      <w:rPr>
        <w:vertAlign w:val="baseline"/>
      </w:rPr>
    </w:lvl>
    <w:lvl w:ilvl="3">
      <w:start w:val="8"/>
      <w:numFmt w:val="decimal"/>
      <w:lvlText w:val="(%4 難易度):"/>
      <w:lvlJc w:val="left"/>
      <w:pPr>
        <w:ind w:left="2268" w:hanging="1134"/>
      </w:pPr>
      <w:rPr>
        <w:vertAlign w:val="baseline"/>
      </w:rPr>
    </w:lvl>
    <w:lvl w:ilvl="4">
      <w:start w:val="8"/>
      <w:numFmt w:val="decimal"/>
      <w:lvlText w:val="(%5 參考文獻): "/>
      <w:lvlJc w:val="left"/>
      <w:pPr>
        <w:ind w:left="2835" w:hanging="1701"/>
      </w:pPr>
      <w:rPr>
        <w:vertAlign w:val="baseline"/>
      </w:rPr>
    </w:lvl>
    <w:lvl w:ilvl="5">
      <w:start w:val="8"/>
      <w:numFmt w:val="decimal"/>
      <w:lvlText w:val="(%6 註解):"/>
      <w:lvlJc w:val="left"/>
      <w:pPr>
        <w:ind w:left="2835" w:hanging="1701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decimal"/>
      <w:lvlText w:val="%1. (        )"/>
      <w:lvlJc w:val="left"/>
      <w:pPr>
        <w:ind w:left="1134" w:hanging="1134"/>
      </w:pPr>
      <w:rPr>
        <w:vertAlign w:val="baseline"/>
      </w:rPr>
    </w:lvl>
    <w:lvl w:ilvl="1">
      <w:start w:val="1"/>
      <w:numFmt w:val="upperLetter"/>
      <w:lvlText w:val="%2)"/>
      <w:lvlJc w:val="left"/>
      <w:pPr>
        <w:ind w:left="1701" w:hanging="567"/>
      </w:pPr>
      <w:rPr>
        <w:vertAlign w:val="baseline"/>
      </w:rPr>
    </w:lvl>
    <w:lvl w:ilvl="2">
      <w:start w:val="1"/>
      <w:numFmt w:val="decimal"/>
      <w:lvlText w:val="(%3 答案):"/>
      <w:lvlJc w:val="left"/>
      <w:pPr>
        <w:ind w:left="2269" w:hanging="1134"/>
      </w:pPr>
      <w:rPr>
        <w:vertAlign w:val="baseline"/>
      </w:rPr>
    </w:lvl>
    <w:lvl w:ilvl="3">
      <w:start w:val="1"/>
      <w:numFmt w:val="decimal"/>
      <w:lvlText w:val="(%4 難易度):"/>
      <w:lvlJc w:val="left"/>
      <w:pPr>
        <w:ind w:left="2268" w:hanging="1134"/>
      </w:pPr>
      <w:rPr>
        <w:vertAlign w:val="baseline"/>
      </w:rPr>
    </w:lvl>
    <w:lvl w:ilvl="4">
      <w:start w:val="1"/>
      <w:numFmt w:val="decimal"/>
      <w:lvlText w:val="(%5 參考文獻): "/>
      <w:lvlJc w:val="left"/>
      <w:pPr>
        <w:ind w:left="2835" w:hanging="1701"/>
      </w:pPr>
      <w:rPr>
        <w:vertAlign w:val="baseline"/>
      </w:rPr>
    </w:lvl>
    <w:lvl w:ilvl="5">
      <w:start w:val="1"/>
      <w:numFmt w:val="decimal"/>
      <w:lvlText w:val="(%6 註解):"/>
      <w:lvlJc w:val="left"/>
      <w:pPr>
        <w:ind w:left="2835" w:hanging="1701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3">
    <w:lvl w:ilvl="0">
      <w:start w:val="1"/>
      <w:numFmt w:val="decimal"/>
      <w:lvlText w:val="%1. (        )"/>
      <w:lvlJc w:val="left"/>
      <w:pPr>
        <w:ind w:left="1134" w:hanging="1134"/>
      </w:pPr>
      <w:rPr>
        <w:vertAlign w:val="baseline"/>
      </w:rPr>
    </w:lvl>
    <w:lvl w:ilvl="1">
      <w:start w:val="1"/>
      <w:numFmt w:val="upperLetter"/>
      <w:lvlText w:val="%2)"/>
      <w:lvlJc w:val="left"/>
      <w:pPr>
        <w:ind w:left="1701" w:hanging="567"/>
      </w:pPr>
      <w:rPr>
        <w:vertAlign w:val="baseline"/>
      </w:rPr>
    </w:lvl>
    <w:lvl w:ilvl="2">
      <w:start w:val="1"/>
      <w:numFmt w:val="decimal"/>
      <w:lvlText w:val="(%3 答案):"/>
      <w:lvlJc w:val="left"/>
      <w:pPr>
        <w:ind w:left="2269" w:hanging="1134"/>
      </w:pPr>
      <w:rPr>
        <w:vertAlign w:val="baseline"/>
      </w:rPr>
    </w:lvl>
    <w:lvl w:ilvl="3">
      <w:start w:val="1"/>
      <w:numFmt w:val="decimal"/>
      <w:lvlText w:val="(%4 難易度):"/>
      <w:lvlJc w:val="left"/>
      <w:pPr>
        <w:ind w:left="2268" w:hanging="1134"/>
      </w:pPr>
      <w:rPr>
        <w:vertAlign w:val="baseline"/>
      </w:rPr>
    </w:lvl>
    <w:lvl w:ilvl="4">
      <w:start w:val="1"/>
      <w:numFmt w:val="decimal"/>
      <w:lvlText w:val="(%5 參考文獻): "/>
      <w:lvlJc w:val="left"/>
      <w:pPr>
        <w:ind w:left="2835" w:hanging="1701"/>
      </w:pPr>
      <w:rPr>
        <w:vertAlign w:val="baseline"/>
      </w:rPr>
    </w:lvl>
    <w:lvl w:ilvl="5">
      <w:start w:val="1"/>
      <w:numFmt w:val="decimal"/>
      <w:lvlText w:val="(%6 註解):"/>
      <w:lvlJc w:val="left"/>
      <w:pPr>
        <w:ind w:left="2835" w:hanging="1701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