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left="1061" w:hanging="461"/>
        <w:contextualSpacing w:val="0"/>
        <w:rPr>
          <w:rFonts w:ascii="標楷體" w:cs="標楷體" w:eastAsia="標楷體" w:hAnsi="標楷體"/>
          <w:b w:val="0"/>
          <w:sz w:val="36"/>
          <w:szCs w:val="36"/>
          <w:vertAlign w:val="baseline"/>
        </w:rPr>
      </w:pPr>
      <w:r w:rsidDel="00000000" w:rsidR="00000000" w:rsidRPr="00000000">
        <w:rPr>
          <w:rFonts w:ascii="標楷體" w:cs="標楷體" w:eastAsia="標楷體" w:hAnsi="標楷體"/>
          <w:b w:val="1"/>
          <w:sz w:val="36"/>
          <w:szCs w:val="36"/>
          <w:vertAlign w:val="baseline"/>
          <w:rtl w:val="0"/>
        </w:rPr>
        <w:t xml:space="preserve">  </w:t>
      </w:r>
      <w:r w:rsidDel="00000000" w:rsidR="00000000" w:rsidRPr="00000000">
        <w:rPr>
          <w:rtl w:val="0"/>
        </w:rPr>
      </w:r>
    </w:p>
    <w:p w:rsidR="00000000" w:rsidDel="00000000" w:rsidP="00000000" w:rsidRDefault="00000000" w:rsidRPr="00000000" w14:paraId="00000001">
      <w:pPr>
        <w:ind w:left="1061" w:hanging="461"/>
        <w:contextualSpacing w:val="0"/>
        <w:jc w:val="center"/>
        <w:rPr>
          <w:rFonts w:ascii="標楷體" w:cs="標楷體" w:eastAsia="標楷體" w:hAnsi="標楷體"/>
          <w:b w:val="0"/>
          <w:sz w:val="36"/>
          <w:szCs w:val="36"/>
          <w:vertAlign w:val="baseline"/>
        </w:rPr>
      </w:pPr>
      <w:r w:rsidDel="00000000" w:rsidR="00000000" w:rsidRPr="00000000">
        <w:rPr>
          <w:rFonts w:ascii="標楷體" w:cs="標楷體" w:eastAsia="標楷體" w:hAnsi="標楷體"/>
          <w:b w:val="1"/>
          <w:sz w:val="36"/>
          <w:szCs w:val="36"/>
          <w:vertAlign w:val="baseline"/>
          <w:rtl w:val="0"/>
        </w:rPr>
        <w:t xml:space="preserve">考前題庫出題格式說明</w:t>
      </w:r>
      <w:r w:rsidDel="00000000" w:rsidR="00000000" w:rsidRPr="00000000">
        <w:rPr>
          <w:rtl w:val="0"/>
        </w:rPr>
      </w:r>
    </w:p>
    <w:p w:rsidR="00000000" w:rsidDel="00000000" w:rsidP="00000000" w:rsidRDefault="00000000" w:rsidRPr="00000000" w14:paraId="00000002">
      <w:pPr>
        <w:ind w:left="805" w:hanging="205"/>
        <w:contextualSpacing w:val="0"/>
        <w:rPr>
          <w:rFonts w:ascii="標楷體" w:cs="標楷體" w:eastAsia="標楷體" w:hAnsi="標楷體"/>
          <w:sz w:val="16"/>
          <w:szCs w:val="16"/>
          <w:vertAlign w:val="baseline"/>
        </w:rPr>
      </w:pPr>
      <w:r w:rsidDel="00000000" w:rsidR="00000000" w:rsidRPr="00000000">
        <w:rPr>
          <w:rtl w:val="0"/>
        </w:rPr>
      </w:r>
    </w:p>
    <w:p w:rsidR="00000000" w:rsidDel="00000000" w:rsidP="00000000" w:rsidRDefault="00000000" w:rsidRPr="00000000" w14:paraId="00000003">
      <w:pPr>
        <w:ind w:left="958" w:hanging="358"/>
        <w:contextualSpacing w:val="0"/>
        <w:rPr>
          <w:rFonts w:ascii="標楷體" w:cs="標楷體" w:eastAsia="標楷體" w:hAnsi="標楷體"/>
          <w:sz w:val="28"/>
          <w:szCs w:val="28"/>
          <w:vertAlign w:val="baseline"/>
        </w:rPr>
      </w:pPr>
      <w:r w:rsidDel="00000000" w:rsidR="00000000" w:rsidRPr="00000000">
        <w:rPr>
          <w:rFonts w:ascii="標楷體" w:cs="標楷體" w:eastAsia="標楷體" w:hAnsi="標楷體"/>
          <w:sz w:val="28"/>
          <w:szCs w:val="28"/>
          <w:vertAlign w:val="baseline"/>
          <w:rtl w:val="0"/>
        </w:rPr>
        <w:t xml:space="preserve">※請依照下列步驟將考題繕打於下一頁:</w:t>
      </w:r>
    </w:p>
    <w:p w:rsidR="00000000" w:rsidDel="00000000" w:rsidP="00000000" w:rsidRDefault="00000000" w:rsidRPr="00000000" w14:paraId="00000004">
      <w:pPr>
        <w:numPr>
          <w:ilvl w:val="0"/>
          <w:numId w:val="2"/>
        </w:numPr>
        <w:ind w:left="958" w:hanging="358"/>
        <w:contextualSpacing w:val="0"/>
        <w:jc w:val="both"/>
        <w:rPr>
          <w:sz w:val="28"/>
          <w:szCs w:val="28"/>
        </w:rPr>
      </w:pPr>
      <w:r w:rsidDel="00000000" w:rsidR="00000000" w:rsidRPr="00000000">
        <w:rPr>
          <w:sz w:val="28"/>
          <w:szCs w:val="28"/>
          <w:vertAlign w:val="baseline"/>
          <w:rtl w:val="0"/>
        </w:rPr>
        <w:t xml:space="preserve">請依下一頁</w:t>
      </w:r>
      <w:r w:rsidDel="00000000" w:rsidR="00000000" w:rsidRPr="00000000">
        <w:rPr>
          <w:b w:val="1"/>
          <w:color w:val="ff0000"/>
          <w:sz w:val="28"/>
          <w:szCs w:val="28"/>
          <w:vertAlign w:val="baseline"/>
          <w:rtl w:val="0"/>
        </w:rPr>
        <w:t xml:space="preserve">標準範例格式</w:t>
      </w:r>
      <w:r w:rsidDel="00000000" w:rsidR="00000000" w:rsidRPr="00000000">
        <w:rPr>
          <w:sz w:val="28"/>
          <w:szCs w:val="28"/>
          <w:vertAlign w:val="baseline"/>
          <w:rtl w:val="0"/>
        </w:rPr>
        <w:t xml:space="preserve">繕打考題(</w:t>
      </w:r>
      <w:r w:rsidDel="00000000" w:rsidR="00000000" w:rsidRPr="00000000">
        <w:rPr>
          <w:b w:val="1"/>
          <w:color w:val="ff0000"/>
          <w:sz w:val="28"/>
          <w:szCs w:val="28"/>
          <w:u w:val="single"/>
          <w:vertAlign w:val="baseline"/>
          <w:rtl w:val="0"/>
        </w:rPr>
        <w:t xml:space="preserve">請依規定出題數</w:t>
      </w:r>
      <w:r w:rsidDel="00000000" w:rsidR="00000000" w:rsidRPr="00000000">
        <w:rPr>
          <w:sz w:val="28"/>
          <w:szCs w:val="28"/>
          <w:vertAlign w:val="baseline"/>
          <w:rtl w:val="0"/>
        </w:rPr>
        <w:t xml:space="preserve">)，並請委員出完題數後</w:t>
      </w:r>
      <w:r w:rsidDel="00000000" w:rsidR="00000000" w:rsidRPr="00000000">
        <w:rPr>
          <w:b w:val="1"/>
          <w:color w:val="0000ff"/>
          <w:sz w:val="28"/>
          <w:szCs w:val="28"/>
          <w:u w:val="single"/>
          <w:vertAlign w:val="baseline"/>
          <w:rtl w:val="0"/>
        </w:rPr>
        <w:t xml:space="preserve">檔案另存新檔時，請於檔名註明委員姓名及題數</w:t>
      </w:r>
      <w:r w:rsidDel="00000000" w:rsidR="00000000" w:rsidRPr="00000000">
        <w:rPr>
          <w:sz w:val="28"/>
          <w:szCs w:val="28"/>
          <w:vertAlign w:val="baseline"/>
          <w:rtl w:val="0"/>
        </w:rPr>
        <w:t xml:space="preserve">，並請mail至學會信箱tastro@tastro.org.tw，以利考題統整及事後查核，謝謝！</w:t>
      </w:r>
    </w:p>
    <w:p w:rsidR="00000000" w:rsidDel="00000000" w:rsidP="00000000" w:rsidRDefault="00000000" w:rsidRPr="00000000" w14:paraId="00000005">
      <w:pPr>
        <w:ind w:left="600"/>
        <w:contextualSpacing w:val="0"/>
        <w:jc w:val="both"/>
        <w:rPr>
          <w:sz w:val="28"/>
          <w:szCs w:val="28"/>
          <w:vertAlign w:val="baseline"/>
        </w:rPr>
      </w:pPr>
      <w:r w:rsidDel="00000000" w:rsidR="00000000" w:rsidRPr="00000000">
        <w:rPr>
          <w:sz w:val="28"/>
          <w:szCs w:val="28"/>
          <w:vertAlign w:val="baseline"/>
          <w:rtl w:val="0"/>
        </w:rPr>
        <w:t xml:space="preserve">   註：</w:t>
      </w:r>
      <w:r w:rsidDel="00000000" w:rsidR="00000000" w:rsidRPr="00000000">
        <w:rPr>
          <w:b w:val="1"/>
          <w:color w:val="ff0000"/>
          <w:sz w:val="28"/>
          <w:szCs w:val="28"/>
          <w:vertAlign w:val="baseline"/>
          <w:rtl w:val="0"/>
        </w:rPr>
        <w:t xml:space="preserve">符合出題格式之委員</w:t>
      </w:r>
      <w:r w:rsidDel="00000000" w:rsidR="00000000" w:rsidRPr="00000000">
        <w:rPr>
          <w:sz w:val="28"/>
          <w:szCs w:val="28"/>
          <w:vertAlign w:val="baseline"/>
          <w:rtl w:val="0"/>
        </w:rPr>
        <w:t xml:space="preserve">，將由學會於會後給付出題酬勞費予出題委員(100</w:t>
      </w:r>
    </w:p>
    <w:p w:rsidR="00000000" w:rsidDel="00000000" w:rsidP="00000000" w:rsidRDefault="00000000" w:rsidRPr="00000000" w14:paraId="00000006">
      <w:pPr>
        <w:ind w:left="600"/>
        <w:contextualSpacing w:val="0"/>
        <w:jc w:val="both"/>
        <w:rPr>
          <w:sz w:val="28"/>
          <w:szCs w:val="28"/>
          <w:vertAlign w:val="baseline"/>
        </w:rPr>
      </w:pPr>
      <w:r w:rsidDel="00000000" w:rsidR="00000000" w:rsidRPr="00000000">
        <w:rPr>
          <w:sz w:val="28"/>
          <w:szCs w:val="28"/>
          <w:vertAlign w:val="baseline"/>
          <w:rtl w:val="0"/>
        </w:rPr>
        <w:t xml:space="preserve">       元/題)，故請於出題後檔案務必註明出題者及題數，謝謝！</w:t>
      </w:r>
    </w:p>
    <w:p w:rsidR="00000000" w:rsidDel="00000000" w:rsidP="00000000" w:rsidRDefault="00000000" w:rsidRPr="00000000" w14:paraId="00000007">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題目請以</w:t>
      </w:r>
      <w:r w:rsidDel="00000000" w:rsidR="00000000" w:rsidRPr="00000000">
        <w:rPr>
          <w:rFonts w:ascii="標楷體" w:cs="標楷體" w:eastAsia="標楷體" w:hAnsi="標楷體"/>
          <w:b w:val="1"/>
          <w:color w:val="ff0000"/>
          <w:sz w:val="28"/>
          <w:szCs w:val="28"/>
          <w:u w:val="single"/>
          <w:vertAlign w:val="baseline"/>
          <w:rtl w:val="0"/>
        </w:rPr>
        <w:t xml:space="preserve">中文出題(限定)</w:t>
      </w:r>
      <w:r w:rsidDel="00000000" w:rsidR="00000000" w:rsidRPr="00000000">
        <w:rPr>
          <w:rFonts w:ascii="標楷體" w:cs="標楷體" w:eastAsia="標楷體" w:hAnsi="標楷體"/>
          <w:color w:val="ff0000"/>
          <w:sz w:val="28"/>
          <w:szCs w:val="28"/>
          <w:vertAlign w:val="baseline"/>
          <w:rtl w:val="0"/>
        </w:rPr>
        <w:t xml:space="preserve">，但專有名詞應用英文(免加註中文)。</w:t>
      </w:r>
    </w:p>
    <w:p w:rsidR="00000000" w:rsidDel="00000000" w:rsidP="00000000" w:rsidRDefault="00000000" w:rsidRPr="00000000" w14:paraId="00000008">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題目類型為</w:t>
      </w:r>
      <w:r w:rsidDel="00000000" w:rsidR="00000000" w:rsidRPr="00000000">
        <w:rPr>
          <w:rFonts w:ascii="標楷體" w:cs="標楷體" w:eastAsia="標楷體" w:hAnsi="標楷體"/>
          <w:b w:val="1"/>
          <w:color w:val="ff0000"/>
          <w:sz w:val="28"/>
          <w:szCs w:val="28"/>
          <w:u w:val="single"/>
          <w:vertAlign w:val="baseline"/>
          <w:rtl w:val="0"/>
        </w:rPr>
        <w:t xml:space="preserve">四選一</w:t>
      </w:r>
      <w:r w:rsidDel="00000000" w:rsidR="00000000" w:rsidRPr="00000000">
        <w:rPr>
          <w:rFonts w:ascii="標楷體" w:cs="標楷體" w:eastAsia="標楷體" w:hAnsi="標楷體"/>
          <w:color w:val="ff0000"/>
          <w:sz w:val="28"/>
          <w:szCs w:val="28"/>
          <w:vertAlign w:val="baseline"/>
          <w:rtl w:val="0"/>
        </w:rPr>
        <w:t xml:space="preserve">，禁出</w:t>
      </w:r>
      <w:r w:rsidDel="00000000" w:rsidR="00000000" w:rsidRPr="00000000">
        <w:rPr>
          <w:rFonts w:ascii="標楷體" w:cs="標楷體" w:eastAsia="標楷體" w:hAnsi="標楷體"/>
          <w:b w:val="1"/>
          <w:color w:val="ff0000"/>
          <w:sz w:val="28"/>
          <w:szCs w:val="28"/>
          <w:u w:val="single"/>
          <w:vertAlign w:val="baseline"/>
          <w:rtl w:val="0"/>
        </w:rPr>
        <w:t xml:space="preserve">『以上皆非或是以上皆是』</w:t>
      </w:r>
      <w:r w:rsidDel="00000000" w:rsidR="00000000" w:rsidRPr="00000000">
        <w:rPr>
          <w:rFonts w:ascii="標楷體" w:cs="標楷體" w:eastAsia="標楷體" w:hAnsi="標楷體"/>
          <w:color w:val="ff0000"/>
          <w:sz w:val="28"/>
          <w:szCs w:val="28"/>
          <w:vertAlign w:val="baseline"/>
          <w:rtl w:val="0"/>
        </w:rPr>
        <w:t xml:space="preserve">之選項。</w:t>
      </w:r>
    </w:p>
    <w:p w:rsidR="00000000" w:rsidDel="00000000" w:rsidP="00000000" w:rsidRDefault="00000000" w:rsidRPr="00000000" w14:paraId="00000009">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參考文獻為教科書，排除期刊，考trial需是教科書中有寫的</w:t>
      </w:r>
    </w:p>
    <w:p w:rsidR="00000000" w:rsidDel="00000000" w:rsidP="00000000" w:rsidRDefault="00000000" w:rsidRPr="00000000" w14:paraId="0000000A">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w:t>
      </w:r>
      <w:r w:rsidDel="00000000" w:rsidR="00000000" w:rsidRPr="00000000">
        <w:rPr>
          <w:color w:val="ff0000"/>
          <w:sz w:val="28"/>
          <w:szCs w:val="28"/>
          <w:vertAlign w:val="baseline"/>
          <w:rtl w:val="0"/>
        </w:rPr>
        <w:t xml:space="preserve">AJCC第八版</w:t>
      </w:r>
      <w:r w:rsidDel="00000000" w:rsidR="00000000" w:rsidRPr="00000000">
        <w:rPr>
          <w:rtl w:val="0"/>
        </w:rPr>
      </w:r>
    </w:p>
    <w:p w:rsidR="00000000" w:rsidDel="00000000" w:rsidP="00000000" w:rsidRDefault="00000000" w:rsidRPr="00000000" w14:paraId="0000000B">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題目及選項文字切勿太過冗長。</w:t>
      </w:r>
    </w:p>
    <w:p w:rsidR="00000000" w:rsidDel="00000000" w:rsidP="00000000" w:rsidRDefault="00000000" w:rsidRPr="00000000" w14:paraId="0000000C">
      <w:pPr>
        <w:ind w:firstLine="661"/>
        <w:contextualSpacing w:val="0"/>
        <w:jc w:val="both"/>
        <w:rPr>
          <w:rFonts w:ascii="標楷體" w:cs="標楷體" w:eastAsia="標楷體" w:hAnsi="標楷體"/>
          <w:color w:val="ff0000"/>
          <w:sz w:val="28"/>
          <w:szCs w:val="28"/>
          <w:vertAlign w:val="baseline"/>
        </w:rPr>
      </w:pPr>
      <w:r w:rsidDel="00000000" w:rsidR="00000000" w:rsidRPr="00000000">
        <w:rPr>
          <w:rFonts w:ascii="標楷體" w:cs="標楷體" w:eastAsia="標楷體" w:hAnsi="標楷體"/>
          <w:color w:val="ff0000"/>
          <w:sz w:val="28"/>
          <w:szCs w:val="28"/>
          <w:vertAlign w:val="baseline"/>
          <w:rtl w:val="0"/>
        </w:rPr>
        <w:t xml:space="preserve">※ 出題時務必註明該題的</w:t>
      </w:r>
      <w:r w:rsidDel="00000000" w:rsidR="00000000" w:rsidRPr="00000000">
        <w:rPr>
          <w:rFonts w:ascii="標楷體" w:cs="標楷體" w:eastAsia="標楷體" w:hAnsi="標楷體"/>
          <w:b w:val="1"/>
          <w:color w:val="ff0000"/>
          <w:sz w:val="28"/>
          <w:szCs w:val="28"/>
          <w:u w:val="single"/>
          <w:vertAlign w:val="baseline"/>
          <w:rtl w:val="0"/>
        </w:rPr>
        <w:t xml:space="preserve">「出處」</w:t>
      </w:r>
      <w:r w:rsidDel="00000000" w:rsidR="00000000" w:rsidRPr="00000000">
        <w:rPr>
          <w:rFonts w:ascii="標楷體" w:cs="標楷體" w:eastAsia="標楷體" w:hAnsi="標楷體"/>
          <w:color w:val="ff0000"/>
          <w:sz w:val="28"/>
          <w:szCs w:val="28"/>
          <w:vertAlign w:val="baseline"/>
          <w:rtl w:val="0"/>
        </w:rPr>
        <w:t xml:space="preserve">。</w:t>
      </w:r>
    </w:p>
    <w:p w:rsidR="00000000" w:rsidDel="00000000" w:rsidP="00000000" w:rsidRDefault="00000000" w:rsidRPr="00000000" w14:paraId="0000000D">
      <w:pPr>
        <w:numPr>
          <w:ilvl w:val="0"/>
          <w:numId w:val="2"/>
        </w:numPr>
        <w:ind w:left="958" w:hanging="358"/>
        <w:contextualSpacing w:val="0"/>
        <w:jc w:val="both"/>
        <w:rPr>
          <w:sz w:val="28"/>
          <w:szCs w:val="28"/>
        </w:rPr>
      </w:pPr>
      <w:r w:rsidDel="00000000" w:rsidR="00000000" w:rsidRPr="00000000">
        <w:rPr>
          <w:color w:val="ff0000"/>
          <w:sz w:val="28"/>
          <w:szCs w:val="28"/>
          <w:vertAlign w:val="baseline"/>
          <w:rtl w:val="0"/>
        </w:rPr>
        <w:t xml:space="preserve">本格式已設定好樣式，故請依下一頁範例格式繕打，切勿更改其樣式</w:t>
      </w:r>
      <w:r w:rsidDel="00000000" w:rsidR="00000000" w:rsidRPr="00000000">
        <w:rPr>
          <w:sz w:val="28"/>
          <w:szCs w:val="28"/>
          <w:vertAlign w:val="baseline"/>
          <w:rtl w:val="0"/>
        </w:rPr>
        <w:t xml:space="preserve">。</w:t>
      </w:r>
    </w:p>
    <w:p w:rsidR="00000000" w:rsidDel="00000000" w:rsidP="00000000" w:rsidRDefault="00000000" w:rsidRPr="00000000" w14:paraId="0000000E">
      <w:pPr>
        <w:numPr>
          <w:ilvl w:val="0"/>
          <w:numId w:val="2"/>
        </w:numPr>
        <w:ind w:left="958" w:hanging="358"/>
        <w:contextualSpacing w:val="0"/>
        <w:jc w:val="both"/>
        <w:rPr>
          <w:sz w:val="28"/>
          <w:szCs w:val="28"/>
        </w:rPr>
      </w:pPr>
      <w:r w:rsidDel="00000000" w:rsidR="00000000" w:rsidRPr="00000000">
        <w:rPr>
          <w:sz w:val="28"/>
          <w:szCs w:val="28"/>
          <w:vertAlign w:val="baseline"/>
          <w:rtl w:val="0"/>
        </w:rPr>
        <w:t xml:space="preserve">開始撰打考題→先於工作列上點選”</w:t>
      </w:r>
      <w:r w:rsidDel="00000000" w:rsidR="00000000" w:rsidRPr="00000000">
        <w:rPr>
          <w:b w:val="1"/>
          <w:sz w:val="28"/>
          <w:szCs w:val="28"/>
          <w:u w:val="single"/>
          <w:vertAlign w:val="baseline"/>
          <w:rtl w:val="0"/>
        </w:rPr>
        <w:t xml:space="preserve">格式</w:t>
      </w:r>
      <w:r w:rsidDel="00000000" w:rsidR="00000000" w:rsidRPr="00000000">
        <w:rPr>
          <w:sz w:val="28"/>
          <w:szCs w:val="28"/>
          <w:vertAlign w:val="baseline"/>
          <w:rtl w:val="0"/>
        </w:rPr>
        <w:t xml:space="preserve">”，下拉式選單中點選”</w:t>
      </w:r>
      <w:r w:rsidDel="00000000" w:rsidR="00000000" w:rsidRPr="00000000">
        <w:rPr>
          <w:b w:val="1"/>
          <w:sz w:val="28"/>
          <w:szCs w:val="28"/>
          <w:u w:val="single"/>
          <w:vertAlign w:val="baseline"/>
          <w:rtl w:val="0"/>
        </w:rPr>
        <w:t xml:space="preserve">樣式與格式</w:t>
      </w:r>
      <w:r w:rsidDel="00000000" w:rsidR="00000000" w:rsidRPr="00000000">
        <w:rPr>
          <w:sz w:val="28"/>
          <w:szCs w:val="28"/>
          <w:vertAlign w:val="baseline"/>
          <w:rtl w:val="0"/>
        </w:rPr>
        <w:t xml:space="preserve">”，該樣式的格式設定將會出現在螢幕的右方，請使用該格式來控制考題的格式。</w:t>
      </w:r>
    </w:p>
    <w:p w:rsidR="00000000" w:rsidDel="00000000" w:rsidP="00000000" w:rsidRDefault="00000000" w:rsidRPr="00000000" w14:paraId="0000000F">
      <w:pPr>
        <w:numPr>
          <w:ilvl w:val="3"/>
          <w:numId w:val="2"/>
        </w:numPr>
        <w:ind w:left="1440" w:hanging="360"/>
        <w:contextualSpacing w:val="0"/>
        <w:jc w:val="both"/>
        <w:rPr>
          <w:b w:val="0"/>
          <w:u w:val="single"/>
        </w:rPr>
      </w:pPr>
      <w:r w:rsidDel="00000000" w:rsidR="00000000" w:rsidRPr="00000000">
        <w:rPr>
          <w:b w:val="1"/>
          <w:sz w:val="28"/>
          <w:szCs w:val="28"/>
          <w:vertAlign w:val="baseline"/>
          <w:rtl w:val="0"/>
        </w:rPr>
        <w:t xml:space="preserve">點選Question: 可用來控制</w:t>
      </w:r>
      <w:r w:rsidDel="00000000" w:rsidR="00000000" w:rsidRPr="00000000">
        <w:rPr>
          <w:b w:val="1"/>
          <w:sz w:val="28"/>
          <w:szCs w:val="28"/>
          <w:u w:val="single"/>
          <w:vertAlign w:val="baseline"/>
          <w:rtl w:val="0"/>
        </w:rPr>
        <w:t xml:space="preserve">題號(題目)</w:t>
      </w:r>
      <w:r w:rsidDel="00000000" w:rsidR="00000000" w:rsidRPr="00000000">
        <w:rPr>
          <w:b w:val="1"/>
          <w:color w:val="ff0000"/>
          <w:sz w:val="28"/>
          <w:szCs w:val="28"/>
          <w:u w:val="single"/>
          <w:vertAlign w:val="baseline"/>
          <w:rtl w:val="0"/>
        </w:rPr>
        <w:t xml:space="preserve"> </w:t>
      </w:r>
      <w:r w:rsidDel="00000000" w:rsidR="00000000" w:rsidRPr="00000000">
        <w:rPr>
          <w:rtl w:val="0"/>
        </w:rPr>
      </w:r>
    </w:p>
    <w:p w:rsidR="00000000" w:rsidDel="00000000" w:rsidP="00000000" w:rsidRDefault="00000000" w:rsidRPr="00000000" w14:paraId="00000010">
      <w:pPr>
        <w:numPr>
          <w:ilvl w:val="3"/>
          <w:numId w:val="2"/>
        </w:numPr>
        <w:ind w:left="1440" w:hanging="360"/>
        <w:contextualSpacing w:val="0"/>
        <w:jc w:val="both"/>
        <w:rPr>
          <w:b w:val="0"/>
        </w:rPr>
      </w:pPr>
      <w:r w:rsidDel="00000000" w:rsidR="00000000" w:rsidRPr="00000000">
        <w:rPr>
          <w:b w:val="1"/>
          <w:sz w:val="28"/>
          <w:szCs w:val="28"/>
          <w:vertAlign w:val="baseline"/>
          <w:rtl w:val="0"/>
        </w:rPr>
        <w:t xml:space="preserve">點選Choice: 可用來控制</w:t>
      </w:r>
      <w:r w:rsidDel="00000000" w:rsidR="00000000" w:rsidRPr="00000000">
        <w:rPr>
          <w:b w:val="1"/>
          <w:sz w:val="28"/>
          <w:szCs w:val="28"/>
          <w:u w:val="single"/>
          <w:vertAlign w:val="baseline"/>
          <w:rtl w:val="0"/>
        </w:rPr>
        <w:t xml:space="preserve">答案選項</w:t>
      </w:r>
      <w:r w:rsidDel="00000000" w:rsidR="00000000" w:rsidRPr="00000000">
        <w:rPr>
          <w:b w:val="1"/>
          <w:sz w:val="28"/>
          <w:szCs w:val="28"/>
          <w:vertAlign w:val="baseline"/>
          <w:rtl w:val="0"/>
        </w:rPr>
        <w:t xml:space="preserve">，自動產生A) B) C) D)，若續按Enter會繼續產生E) F)…選項，需到樣式選項點選Answer</w:t>
      </w:r>
      <w:r w:rsidDel="00000000" w:rsidR="00000000" w:rsidRPr="00000000">
        <w:rPr>
          <w:rtl w:val="0"/>
        </w:rPr>
      </w:r>
    </w:p>
    <w:p w:rsidR="00000000" w:rsidDel="00000000" w:rsidP="00000000" w:rsidRDefault="00000000" w:rsidRPr="00000000" w14:paraId="00000011">
      <w:pPr>
        <w:numPr>
          <w:ilvl w:val="3"/>
          <w:numId w:val="2"/>
        </w:numPr>
        <w:ind w:left="1440" w:hanging="360"/>
        <w:contextualSpacing w:val="0"/>
        <w:jc w:val="both"/>
        <w:rPr>
          <w:b w:val="0"/>
        </w:rPr>
      </w:pPr>
      <w:r w:rsidDel="00000000" w:rsidR="00000000" w:rsidRPr="00000000">
        <w:rPr>
          <w:b w:val="1"/>
          <w:sz w:val="28"/>
          <w:szCs w:val="28"/>
          <w:vertAlign w:val="baseline"/>
          <w:rtl w:val="0"/>
        </w:rPr>
        <w:t xml:space="preserve">點選Answer: 可用來控制</w:t>
      </w:r>
      <w:r w:rsidDel="00000000" w:rsidR="00000000" w:rsidRPr="00000000">
        <w:rPr>
          <w:b w:val="1"/>
          <w:sz w:val="28"/>
          <w:szCs w:val="28"/>
          <w:u w:val="single"/>
          <w:vertAlign w:val="baseline"/>
          <w:rtl w:val="0"/>
        </w:rPr>
        <w:t xml:space="preserve">答案</w:t>
      </w:r>
      <w:r w:rsidDel="00000000" w:rsidR="00000000" w:rsidRPr="00000000">
        <w:rPr>
          <w:b w:val="1"/>
          <w:sz w:val="28"/>
          <w:szCs w:val="28"/>
          <w:vertAlign w:val="baseline"/>
          <w:rtl w:val="0"/>
        </w:rPr>
        <w:t xml:space="preserve">格式</w:t>
      </w:r>
      <w:r w:rsidDel="00000000" w:rsidR="00000000" w:rsidRPr="00000000">
        <w:rPr>
          <w:b w:val="1"/>
          <w:color w:val="ff0000"/>
          <w:u w:val="single"/>
          <w:vertAlign w:val="baseline"/>
          <w:rtl w:val="0"/>
        </w:rPr>
        <w:t xml:space="preserve">(本項請再文字註明，出題的小組科別細項)</w:t>
      </w:r>
      <w:r w:rsidDel="00000000" w:rsidR="00000000" w:rsidRPr="00000000">
        <w:rPr>
          <w:rtl w:val="0"/>
        </w:rPr>
      </w:r>
    </w:p>
    <w:p w:rsidR="00000000" w:rsidDel="00000000" w:rsidP="00000000" w:rsidRDefault="00000000" w:rsidRPr="00000000" w14:paraId="00000012">
      <w:pPr>
        <w:numPr>
          <w:ilvl w:val="3"/>
          <w:numId w:val="2"/>
        </w:numPr>
        <w:ind w:left="1440" w:hanging="360"/>
        <w:contextualSpacing w:val="0"/>
        <w:jc w:val="both"/>
        <w:rPr>
          <w:b w:val="0"/>
        </w:rPr>
      </w:pPr>
      <w:r w:rsidDel="00000000" w:rsidR="00000000" w:rsidRPr="00000000">
        <w:rPr>
          <w:b w:val="1"/>
          <w:sz w:val="28"/>
          <w:szCs w:val="28"/>
          <w:vertAlign w:val="baseline"/>
          <w:rtl w:val="0"/>
        </w:rPr>
        <w:t xml:space="preserve">點選QuizLevel: </w:t>
      </w:r>
      <w:r w:rsidDel="00000000" w:rsidR="00000000" w:rsidRPr="00000000">
        <w:rPr>
          <w:b w:val="1"/>
          <w:sz w:val="28"/>
          <w:szCs w:val="28"/>
          <w:u w:val="single"/>
          <w:vertAlign w:val="baseline"/>
          <w:rtl w:val="0"/>
        </w:rPr>
        <w:t xml:space="preserve">難易度</w:t>
      </w:r>
      <w:r w:rsidDel="00000000" w:rsidR="00000000" w:rsidRPr="00000000">
        <w:rPr>
          <w:rtl w:val="0"/>
        </w:rPr>
      </w:r>
    </w:p>
    <w:p w:rsidR="00000000" w:rsidDel="00000000" w:rsidP="00000000" w:rsidRDefault="00000000" w:rsidRPr="00000000" w14:paraId="00000013">
      <w:pPr>
        <w:numPr>
          <w:ilvl w:val="3"/>
          <w:numId w:val="2"/>
        </w:numPr>
        <w:ind w:left="1440" w:hanging="360"/>
        <w:contextualSpacing w:val="0"/>
        <w:jc w:val="both"/>
        <w:rPr>
          <w:b w:val="0"/>
        </w:rPr>
      </w:pPr>
      <w:r w:rsidDel="00000000" w:rsidR="00000000" w:rsidRPr="00000000">
        <w:rPr>
          <w:b w:val="1"/>
          <w:sz w:val="28"/>
          <w:szCs w:val="28"/>
          <w:vertAlign w:val="baseline"/>
          <w:rtl w:val="0"/>
        </w:rPr>
        <w:t xml:space="preserve">Ref:</w:t>
      </w:r>
      <w:r w:rsidDel="00000000" w:rsidR="00000000" w:rsidRPr="00000000">
        <w:rPr>
          <w:b w:val="1"/>
          <w:sz w:val="28"/>
          <w:szCs w:val="28"/>
          <w:u w:val="single"/>
          <w:vertAlign w:val="baseline"/>
          <w:rtl w:val="0"/>
        </w:rPr>
        <w:t xml:space="preserve">參考文獻</w:t>
      </w:r>
      <w:r w:rsidDel="00000000" w:rsidR="00000000" w:rsidRPr="00000000">
        <w:rPr>
          <w:rtl w:val="0"/>
        </w:rPr>
      </w:r>
    </w:p>
    <w:p w:rsidR="00000000" w:rsidDel="00000000" w:rsidP="00000000" w:rsidRDefault="00000000" w:rsidRPr="00000000" w14:paraId="00000014">
      <w:pPr>
        <w:numPr>
          <w:ilvl w:val="3"/>
          <w:numId w:val="2"/>
        </w:numPr>
        <w:ind w:left="1440" w:hanging="360"/>
        <w:contextualSpacing w:val="0"/>
        <w:jc w:val="both"/>
        <w:rPr>
          <w:b w:val="0"/>
        </w:rPr>
      </w:pPr>
      <w:r w:rsidDel="00000000" w:rsidR="00000000" w:rsidRPr="00000000">
        <w:rPr>
          <w:b w:val="1"/>
          <w:sz w:val="28"/>
          <w:szCs w:val="28"/>
          <w:vertAlign w:val="baseline"/>
          <w:rtl w:val="0"/>
        </w:rPr>
        <w:t xml:space="preserve">Comment: </w:t>
      </w:r>
      <w:r w:rsidDel="00000000" w:rsidR="00000000" w:rsidRPr="00000000">
        <w:rPr>
          <w:b w:val="1"/>
          <w:sz w:val="28"/>
          <w:szCs w:val="28"/>
          <w:u w:val="single"/>
          <w:vertAlign w:val="baseline"/>
          <w:rtl w:val="0"/>
        </w:rPr>
        <w:t xml:space="preserve">註解</w:t>
      </w:r>
      <w:r w:rsidDel="00000000" w:rsidR="00000000" w:rsidRPr="00000000">
        <w:rPr>
          <w:b w:val="1"/>
          <w:color w:val="ff0000"/>
          <w:sz w:val="28"/>
          <w:szCs w:val="28"/>
          <w:u w:val="single"/>
          <w:vertAlign w:val="baseline"/>
          <w:rtl w:val="0"/>
        </w:rPr>
        <w:t xml:space="preserve">(文字請限於4行內)</w:t>
      </w:r>
      <w:r w:rsidDel="00000000" w:rsidR="00000000" w:rsidRPr="00000000">
        <w:rPr>
          <w:rtl w:val="0"/>
        </w:rPr>
      </w:r>
    </w:p>
    <w:p w:rsidR="00000000" w:rsidDel="00000000" w:rsidP="00000000" w:rsidRDefault="00000000" w:rsidRPr="00000000" w14:paraId="00000015">
      <w:pPr>
        <w:ind w:left="1440" w:hanging="360"/>
        <w:contextualSpacing w:val="0"/>
        <w:jc w:val="both"/>
        <w:rPr>
          <w:b w:val="0"/>
          <w:color w:val="ff0000"/>
          <w:sz w:val="28"/>
          <w:szCs w:val="28"/>
          <w:vertAlign w:val="baseline"/>
        </w:rPr>
      </w:pPr>
      <w:r w:rsidDel="00000000" w:rsidR="00000000" w:rsidRPr="00000000">
        <w:rPr>
          <w:rtl w:val="0"/>
        </w:rPr>
      </w:r>
    </w:p>
    <w:p w:rsidR="00000000" w:rsidDel="00000000" w:rsidP="00000000" w:rsidRDefault="00000000" w:rsidRPr="00000000" w14:paraId="00000016">
      <w:pPr>
        <w:numPr>
          <w:ilvl w:val="0"/>
          <w:numId w:val="1"/>
        </w:numPr>
        <w:ind w:left="958" w:hanging="358"/>
        <w:contextualSpacing w:val="0"/>
        <w:jc w:val="both"/>
        <w:rPr>
          <w:shd w:fill="d9d9d9" w:val="clear"/>
        </w:rPr>
      </w:pPr>
      <w:r w:rsidDel="00000000" w:rsidR="00000000" w:rsidRPr="00000000">
        <w:rPr>
          <w:sz w:val="28"/>
          <w:szCs w:val="28"/>
          <w:shd w:fill="d9d9d9" w:val="clear"/>
          <w:vertAlign w:val="baseline"/>
          <w:rtl w:val="0"/>
        </w:rPr>
        <w:t xml:space="preserve">以上步驟若無法執行，請您用</w:t>
      </w:r>
      <w:r w:rsidDel="00000000" w:rsidR="00000000" w:rsidRPr="00000000">
        <w:rPr>
          <w:b w:val="1"/>
          <w:sz w:val="28"/>
          <w:szCs w:val="28"/>
          <w:u w:val="single"/>
          <w:shd w:fill="d9d9d9" w:val="clear"/>
          <w:vertAlign w:val="baseline"/>
          <w:rtl w:val="0"/>
        </w:rPr>
        <w:t xml:space="preserve">複製的方式</w:t>
      </w:r>
      <w:r w:rsidDel="00000000" w:rsidR="00000000" w:rsidRPr="00000000">
        <w:rPr>
          <w:sz w:val="28"/>
          <w:szCs w:val="28"/>
          <w:shd w:fill="d9d9d9" w:val="clear"/>
          <w:vertAlign w:val="baseline"/>
          <w:rtl w:val="0"/>
        </w:rPr>
        <w:t xml:space="preserve">，將下頁的範例題目複製後，貼上出題次數，然後將原內容文字刪除，保留格式，再將新的考題內容文字加入。</w:t>
      </w:r>
    </w:p>
    <w:p w:rsidR="00000000" w:rsidDel="00000000" w:rsidP="00000000" w:rsidRDefault="00000000" w:rsidRPr="00000000" w14:paraId="00000017">
      <w:pPr>
        <w:contextualSpacing w:val="0"/>
        <w:jc w:val="both"/>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8">
      <w:pPr>
        <w:contextualSpacing w:val="0"/>
        <w:jc w:val="both"/>
        <w:rPr>
          <w:rFonts w:ascii="標楷體" w:cs="標楷體" w:eastAsia="標楷體" w:hAnsi="標楷體"/>
          <w:sz w:val="28"/>
          <w:szCs w:val="28"/>
          <w:shd w:fill="d9d9d9" w:val="clear"/>
          <w:vertAlign w:val="baseline"/>
        </w:rPr>
      </w:pPr>
      <w:r w:rsidDel="00000000" w:rsidR="00000000" w:rsidRPr="00000000">
        <w:rPr>
          <w:rFonts w:ascii="標楷體" w:cs="標楷體" w:eastAsia="標楷體" w:hAnsi="標楷體"/>
          <w:sz w:val="28"/>
          <w:szCs w:val="28"/>
          <w:vertAlign w:val="baseline"/>
          <w:rtl w:val="0"/>
        </w:rPr>
        <w:t xml:space="preserve">＝＝＝＝＝＝＝＝＝＝＝＝＝＝＝＝＝＝＝＝＝＝＝＝＝＝＝＝＝＝＝＝＝＝＝＝</w:t>
      </w:r>
      <w:r w:rsidDel="00000000" w:rsidR="00000000" w:rsidRPr="00000000">
        <w:rPr>
          <w:rtl w:val="0"/>
        </w:rPr>
      </w:r>
    </w:p>
    <w:p w:rsidR="00000000" w:rsidDel="00000000" w:rsidP="00000000" w:rsidRDefault="00000000" w:rsidRPr="00000000" w14:paraId="00000019">
      <w:pPr>
        <w:contextualSpacing w:val="0"/>
        <w:jc w:val="center"/>
        <w:rPr>
          <w:rFonts w:ascii="標楷體" w:cs="標楷體" w:eastAsia="標楷體" w:hAnsi="標楷體"/>
          <w:b w:val="0"/>
          <w:sz w:val="28"/>
          <w:szCs w:val="28"/>
          <w:vertAlign w:val="baseline"/>
        </w:rPr>
      </w:pPr>
      <w:r w:rsidDel="00000000" w:rsidR="00000000" w:rsidRPr="00000000">
        <w:rPr>
          <w:rFonts w:ascii="標楷體" w:cs="標楷體" w:eastAsia="標楷體" w:hAnsi="標楷體"/>
          <w:b w:val="1"/>
          <w:sz w:val="28"/>
          <w:szCs w:val="28"/>
          <w:vertAlign w:val="baseline"/>
          <w:rtl w:val="0"/>
        </w:rPr>
        <w:t xml:space="preserve">「請各出題委員繕打考題時，一定要使用此格式，請勿自行變更該格式」謝謝！</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「以下為範例出題格式，請各委員出題時，請以下列格式繕打，切勿變更其格式，謝謝！」</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65歲男性病人健檢時胸部X光片發現左下肺病灶，進一步胸部電腦斷層檢查發現左下肺有一3.8公分腫瘤距離氣管隆凸 (carina) 1.2公分，侵犯左側主支氣管和臟層肋膜(visceral pleura)，但無發現壁層肋膜(parietal pleura)侵犯或肺部其它衛星病灶；同時發現陽性縱膈腔淋巴結轉移，位於左側肺門、左側氣管旁及氣管隆凸下。切片確診為肺腺癌，腹部超音波、全身骨骼掃描及腦部核磁共振影像並沒有發現遠端轉移之臨床證據。根據AJCC分期第八版，此病人臨床期別為何?</w:t>
      </w:r>
    </w:p>
    <w:p w:rsidR="00000000" w:rsidDel="00000000" w:rsidP="00000000" w:rsidRDefault="00000000" w:rsidRPr="00000000" w14:paraId="0000001C">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cT2bN3M0 stage IIIB </w:t>
      </w:r>
    </w:p>
    <w:p w:rsidR="00000000" w:rsidDel="00000000" w:rsidP="00000000" w:rsidRDefault="00000000" w:rsidRPr="00000000" w14:paraId="0000001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cT2aN2M0 stage IIIA</w:t>
      </w:r>
    </w:p>
    <w:p w:rsidR="00000000" w:rsidDel="00000000" w:rsidP="00000000" w:rsidRDefault="00000000" w:rsidRPr="00000000" w14:paraId="0000001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cT3N2M0 stage IIIB</w:t>
      </w:r>
    </w:p>
    <w:p w:rsidR="00000000" w:rsidDel="00000000" w:rsidP="00000000" w:rsidRDefault="00000000" w:rsidRPr="00000000" w14:paraId="0000001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cT3N3M0 stage IIIC</w:t>
      </w:r>
    </w:p>
    <w:p w:rsidR="00000000" w:rsidDel="00000000" w:rsidP="00000000" w:rsidRDefault="00000000" w:rsidRPr="00000000" w14:paraId="00000020">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(胸部癌症，AJCC 8</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 非小細胞肺癌臨床分期)</w:t>
      </w:r>
      <w:r w:rsidDel="00000000" w:rsidR="00000000" w:rsidRPr="00000000">
        <w:rPr>
          <w:rtl w:val="0"/>
        </w:rPr>
      </w:r>
    </w:p>
    <w:p w:rsidR="00000000" w:rsidDel="00000000" w:rsidP="00000000" w:rsidRDefault="00000000" w:rsidRPr="00000000" w14:paraId="00000021">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22">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AJCC cancer staging manual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American Joint Committee on Cancer; Part VII Thorax, lung; 2016.</w:t>
      </w:r>
    </w:p>
    <w:p w:rsidR="00000000" w:rsidDel="00000000" w:rsidP="00000000" w:rsidRDefault="00000000" w:rsidRPr="00000000" w14:paraId="00000023">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P447-448, Definition of AJCC TNM</w:t>
      </w:r>
    </w:p>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根據Scott J. Antonia等人發表於新英格蘭期刊(PACIFIC study, NCT02125461)之研究，於第三期非小細胞肺癌病人接受根治性同步放化療後，隨機分派至免疫治療組或安慰組之結果敘述，以下何者錯誤？</w:t>
      </w:r>
    </w:p>
    <w:p w:rsidR="00000000" w:rsidDel="00000000" w:rsidP="00000000" w:rsidRDefault="00000000" w:rsidRPr="00000000" w14:paraId="0000002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所選用之免疫治療藥物為durvalumab，每兩週給予一次，最多持續24個月 </w:t>
      </w:r>
    </w:p>
    <w:p w:rsidR="00000000" w:rsidDel="00000000" w:rsidP="00000000" w:rsidRDefault="00000000" w:rsidRPr="00000000" w14:paraId="00000026">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病人需至少接受兩次以上的鉑金類化學治療且放化療後疾病無惡化</w:t>
      </w:r>
    </w:p>
    <w:p w:rsidR="00000000" w:rsidDel="00000000" w:rsidP="00000000" w:rsidRDefault="00000000" w:rsidRPr="00000000" w14:paraId="00000027">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免疫治療組和安慰組相比，在反應率、疾病無進展存活期及無轉移存活期，均有統計學上有意義之增加</w:t>
      </w:r>
    </w:p>
    <w:p w:rsidR="00000000" w:rsidDel="00000000" w:rsidP="00000000" w:rsidRDefault="00000000" w:rsidRPr="00000000" w14:paraId="0000002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免疫治療組和安慰組最常見之等級三或四之不良事件均為肺炎</w:t>
      </w:r>
    </w:p>
    <w:p w:rsidR="00000000" w:rsidDel="00000000" w:rsidP="00000000" w:rsidRDefault="00000000" w:rsidRPr="00000000" w14:paraId="00000029">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(胸部癌症，非小細胞肺癌治療新策略)</w:t>
      </w:r>
      <w:r w:rsidDel="00000000" w:rsidR="00000000" w:rsidRPr="00000000">
        <w:rPr>
          <w:rtl w:val="0"/>
        </w:rPr>
      </w:r>
    </w:p>
    <w:p w:rsidR="00000000" w:rsidDel="00000000" w:rsidP="00000000" w:rsidRDefault="00000000" w:rsidRPr="00000000" w14:paraId="0000002A">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難</w:t>
      </w:r>
    </w:p>
    <w:p w:rsidR="00000000" w:rsidDel="00000000" w:rsidP="00000000" w:rsidRDefault="00000000" w:rsidRPr="00000000" w14:paraId="0000002B">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Engl J Med. 2017 Nov 16;377(20):1919-1929.</w:t>
      </w:r>
    </w:p>
    <w:p w:rsidR="00000000" w:rsidDel="00000000" w:rsidP="00000000" w:rsidRDefault="00000000" w:rsidRPr="00000000" w14:paraId="0000002C">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durvalumab every 2 weeks for up to 12 months.</w:t>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關於重症肌無力(myasthenia gravis)在胸腺瘤(thymoma)之相關性，以下敘述何者為非？</w:t>
      </w:r>
    </w:p>
    <w:p w:rsidR="00000000" w:rsidDel="00000000" w:rsidP="00000000" w:rsidRDefault="00000000" w:rsidRPr="00000000" w14:paraId="0000002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約30–40%的胸腺瘤患者會表現重症肌無力；而10–15%的重症肌無力患者診斷為胸腺瘤</w:t>
      </w:r>
    </w:p>
    <w:p w:rsidR="00000000" w:rsidDel="00000000" w:rsidP="00000000" w:rsidRDefault="00000000" w:rsidRPr="00000000" w14:paraId="0000002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30–40歲的胸腺瘤患者，較常合併表現重症肌無力；而60–70歲的胸腺瘤患者，較少有重症肌無力之表現</w:t>
      </w:r>
    </w:p>
    <w:p w:rsidR="00000000" w:rsidDel="00000000" w:rsidP="00000000" w:rsidRDefault="00000000" w:rsidRPr="00000000" w14:paraId="0000003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有重症肌無力表現的胸腺瘤患者約有兩成的死亡率，應先藥物控制再評估胸腺切除手術</w:t>
      </w:r>
    </w:p>
    <w:p w:rsidR="00000000" w:rsidDel="00000000" w:rsidP="00000000" w:rsidRDefault="00000000" w:rsidRPr="00000000" w14:paraId="0000003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針對有重症肌無力表現的胸腺瘤患者，局部治療的選項有胸腺切除或放射治療，但胸腺切除較放射治療有較高的機率可改善重症肌無力之症狀</w:t>
      </w:r>
    </w:p>
    <w:p w:rsidR="00000000" w:rsidDel="00000000" w:rsidP="00000000" w:rsidRDefault="00000000" w:rsidRPr="00000000" w14:paraId="00000032">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(縱膈腔腫瘤，胸腺瘤)</w:t>
      </w:r>
      <w:r w:rsidDel="00000000" w:rsidR="00000000" w:rsidRPr="00000000">
        <w:rPr>
          <w:rtl w:val="0"/>
        </w:rPr>
      </w:r>
    </w:p>
    <w:p w:rsidR="00000000" w:rsidDel="00000000" w:rsidP="00000000" w:rsidRDefault="00000000" w:rsidRPr="00000000" w14:paraId="00000033">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34">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 and Practice of Radiation Oncology, 2013 (6th edition), Carlos A. Perez, Luther W. Brady; Chapter 52. P974, Thymoma: Epidemiology, Natural history; 981 Management of Myasthenia Gravis</w:t>
      </w:r>
    </w:p>
    <w:p w:rsidR="00000000" w:rsidDel="00000000" w:rsidP="00000000" w:rsidRDefault="00000000" w:rsidRPr="00000000" w14:paraId="00000035">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835" w:right="0" w:hanging="1701"/>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Removal of even normal-appearing thymuses improves symptoms in about half of patients with myasthenia gravis. Radiation therapy to the thymus has also been reported to be effective for treating myasthenia gravis, with symptom improvement or response noted in about 50% of patients.</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有關擴散期(extensive stage)小細胞肺癌，預防性腦部放射治療(prophylactic cranial irradiation, PCI)之臨床證據，下列何者有誤？</w:t>
      </w:r>
    </w:p>
    <w:p w:rsidR="00000000" w:rsidDel="00000000" w:rsidP="00000000" w:rsidRDefault="00000000" w:rsidRPr="00000000" w14:paraId="00000037">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根據Slotman等人的研究(EORTC trial)，統計分析化學治療後有反應的擴散期小細胞肺癌患者，接受PCI和觀察組相比，可顯著增加一年整體存活率，並減少有症狀腦轉移的機率</w:t>
      </w:r>
    </w:p>
    <w:p w:rsidR="00000000" w:rsidDel="00000000" w:rsidP="00000000" w:rsidRDefault="00000000" w:rsidRPr="00000000" w14:paraId="0000003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根據Takahashi等人的研究(Japanese trial)，統計分析化學治療後有反應的擴散期小細胞肺癌患者，接受PCI和觀察組相比，能顯著減少腦轉移的機率，但對於存活期沒有差別</w:t>
      </w:r>
    </w:p>
    <w:p w:rsidR="00000000" w:rsidDel="00000000" w:rsidP="00000000" w:rsidRDefault="00000000" w:rsidRPr="00000000" w14:paraId="00000039">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比較EORTC trial和Japanese trial的PCI 劑量，25Gy/10fx皆為最常用的劑量規畫</w:t>
      </w:r>
    </w:p>
    <w:p w:rsidR="00000000" w:rsidDel="00000000" w:rsidP="00000000" w:rsidRDefault="00000000" w:rsidRPr="00000000" w14:paraId="0000003A">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比較EORTC trial和Japanese trial的研究結果，Japanese trial的觀察組較EORTC trial的PCI組有較長的存活期</w:t>
      </w:r>
    </w:p>
    <w:p w:rsidR="00000000" w:rsidDel="00000000" w:rsidP="00000000" w:rsidRDefault="00000000" w:rsidRPr="00000000" w14:paraId="0000003B">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(胸部癌症，小細胞肺癌)</w:t>
      </w:r>
      <w:r w:rsidDel="00000000" w:rsidR="00000000" w:rsidRPr="00000000">
        <w:rPr>
          <w:rtl w:val="0"/>
        </w:rPr>
      </w:r>
    </w:p>
    <w:p w:rsidR="00000000" w:rsidDel="00000000" w:rsidP="00000000" w:rsidRDefault="00000000" w:rsidRPr="00000000" w14:paraId="0000003C">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3D">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Principle and Practice of Radiation Oncology, 2013 (6th edition), Carlos A. Perez, Luther W. Brady; Chapter 51. ; 2) Slotman, EORTC trial (NEJM 2007, PMID 17699816) ; 3) Takahashi, Japanese trial (Lancet Oncol 2017, PMID 28343976)  </w:t>
      </w:r>
    </w:p>
    <w:p w:rsidR="00000000" w:rsidDel="00000000" w:rsidP="00000000" w:rsidRDefault="00000000" w:rsidRPr="00000000" w14:paraId="0000003E">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EORTC trial 最常見PCI regimen為20Gy/4fx (65%), 30Gy/10fx (16%), 30Gy/12fx (6%), 25Gy/10fx (5%). Japanese trial 皆為25Gy/10fx. Brain metastases incidence after PCI in Japanese trial vs EORTC trial : 48% vs 16.8% </w:t>
      </w:r>
    </w:p>
    <w:p w:rsidR="00000000" w:rsidDel="00000000" w:rsidP="00000000" w:rsidRDefault="00000000" w:rsidRPr="00000000" w14:paraId="0000003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下列何者不是前縱膈腔腫瘤之鑑別診斷？</w:t>
      </w:r>
    </w:p>
    <w:p w:rsidR="00000000" w:rsidDel="00000000" w:rsidP="00000000" w:rsidRDefault="00000000" w:rsidRPr="00000000" w14:paraId="0000004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Meningoceles </w:t>
      </w:r>
    </w:p>
    <w:p w:rsidR="00000000" w:rsidDel="00000000" w:rsidP="00000000" w:rsidRDefault="00000000" w:rsidRPr="00000000" w14:paraId="0000004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Castleman’s disease</w:t>
      </w:r>
    </w:p>
    <w:p w:rsidR="00000000" w:rsidDel="00000000" w:rsidP="00000000" w:rsidRDefault="00000000" w:rsidRPr="00000000" w14:paraId="00000042">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Parathyroid adenoma</w:t>
      </w:r>
    </w:p>
    <w:p w:rsidR="00000000" w:rsidDel="00000000" w:rsidP="00000000" w:rsidRDefault="00000000" w:rsidRPr="00000000" w14:paraId="00000043">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Dermoid cyst</w:t>
      </w:r>
    </w:p>
    <w:p w:rsidR="00000000" w:rsidDel="00000000" w:rsidP="00000000" w:rsidRDefault="00000000" w:rsidRPr="00000000" w14:paraId="00000044">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(縱膈腔腫瘤)</w:t>
      </w:r>
      <w:r w:rsidDel="00000000" w:rsidR="00000000" w:rsidRPr="00000000">
        <w:rPr>
          <w:rtl w:val="0"/>
        </w:rPr>
      </w:r>
    </w:p>
    <w:p w:rsidR="00000000" w:rsidDel="00000000" w:rsidP="00000000" w:rsidRDefault="00000000" w:rsidRPr="00000000" w14:paraId="00000045">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46">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 and Practice of Radiation Oncology, 2013 (6th edition), Carlos A. Perez, Luther W. Brady; Chapter 52.</w:t>
      </w:r>
    </w:p>
    <w:p w:rsidR="00000000" w:rsidDel="00000000" w:rsidP="00000000" w:rsidRDefault="00000000" w:rsidRPr="00000000" w14:paraId="00000047">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P973, Mediastinal tumors; Table 52.1</w:t>
      </w:r>
    </w:p>
    <w:p w:rsidR="00000000" w:rsidDel="00000000" w:rsidP="00000000" w:rsidRDefault="00000000" w:rsidRPr="00000000" w14:paraId="0000004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有關縱膈腔神經腫瘤(mediastinal neurogenic tumors)之描述，下列何者正確？</w:t>
      </w:r>
    </w:p>
    <w:p w:rsidR="00000000" w:rsidDel="00000000" w:rsidP="00000000" w:rsidRDefault="00000000" w:rsidRPr="00000000" w14:paraId="00000049">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Malignant peripheral nerve sheath tumors (MPNST)為成人最常見之惡性縱膈腔神經腫瘤</w:t>
      </w:r>
    </w:p>
    <w:p w:rsidR="00000000" w:rsidDel="00000000" w:rsidP="00000000" w:rsidRDefault="00000000" w:rsidRPr="00000000" w14:paraId="0000004A">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Paragangliomas為成人最常見之良性縱膈腔神經腫瘤</w:t>
      </w:r>
    </w:p>
    <w:p w:rsidR="00000000" w:rsidDel="00000000" w:rsidP="00000000" w:rsidRDefault="00000000" w:rsidRPr="00000000" w14:paraId="0000004B">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Neurofibromatosis type-1常見於neurofibromas及schwannoma的病人，但可排除MPNST的風險</w:t>
      </w:r>
    </w:p>
    <w:p w:rsidR="00000000" w:rsidDel="00000000" w:rsidP="00000000" w:rsidRDefault="00000000" w:rsidRPr="00000000" w14:paraId="0000004C">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MPNST常和輻射暴露史相關，臨床表現以局部侵犯為主，遠端轉移並不常見</w:t>
      </w:r>
    </w:p>
    <w:p w:rsidR="00000000" w:rsidDel="00000000" w:rsidP="00000000" w:rsidRDefault="00000000" w:rsidRPr="00000000" w14:paraId="0000004D">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(縱膈腔腫瘤)</w:t>
      </w:r>
      <w:r w:rsidDel="00000000" w:rsidR="00000000" w:rsidRPr="00000000">
        <w:rPr>
          <w:rtl w:val="0"/>
        </w:rPr>
      </w:r>
    </w:p>
    <w:p w:rsidR="00000000" w:rsidDel="00000000" w:rsidP="00000000" w:rsidRDefault="00000000" w:rsidRPr="00000000" w14:paraId="0000004E">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4F">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 and Practice of Radiation Oncology, 2013 (6th edition), Carlos A. Perez, Luther W. Brady; Chapter 52.</w:t>
      </w:r>
    </w:p>
    <w:p w:rsidR="00000000" w:rsidDel="00000000" w:rsidP="00000000" w:rsidRDefault="00000000" w:rsidRPr="00000000" w14:paraId="00000050">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P988, Mediastinal neurogenic tumor; NF-1 is an autosomal-dominant neurocutaneous disorder; NF-1和較高的neurofibromas, schwannoma, MPNST發生率有關; MPNST確診時有1/3的病人已發生遠端轉移</w:t>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有關縱膈腔生殖細胞瘤(germ cell tumor)之描述，下列何者為錯誤？</w:t>
      </w:r>
    </w:p>
    <w:p w:rsidR="00000000" w:rsidDel="00000000" w:rsidP="00000000" w:rsidRDefault="00000000" w:rsidRPr="00000000" w14:paraId="00000052">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縱膈腔生殖細胞瘤為最常見的生殖腺外生殖細胞瘤</w:t>
      </w:r>
    </w:p>
    <w:p w:rsidR="00000000" w:rsidDel="00000000" w:rsidP="00000000" w:rsidRDefault="00000000" w:rsidRPr="00000000" w14:paraId="00000053">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Mature teratoma之標準治療為手術切除，並無化學治療或放射治療之適應症</w:t>
      </w:r>
    </w:p>
    <w:p w:rsidR="00000000" w:rsidDel="00000000" w:rsidP="00000000" w:rsidRDefault="00000000" w:rsidRPr="00000000" w14:paraId="0000005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Seminoma是對輻射敏感之細胞型態，因此放射治療為縱膈腔seminoma的第一線治療</w:t>
      </w:r>
    </w:p>
    <w:p w:rsidR="00000000" w:rsidDel="00000000" w:rsidP="00000000" w:rsidRDefault="00000000" w:rsidRPr="00000000" w14:paraId="0000005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Nonseminomatous germ cell tumor的第一線治療為鉑金類化學治療</w:t>
      </w:r>
    </w:p>
    <w:p w:rsidR="00000000" w:rsidDel="00000000" w:rsidP="00000000" w:rsidRDefault="00000000" w:rsidRPr="00000000" w14:paraId="00000056">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(縱膈腔腫瘤)</w:t>
      </w:r>
      <w:r w:rsidDel="00000000" w:rsidR="00000000" w:rsidRPr="00000000">
        <w:rPr>
          <w:rtl w:val="0"/>
        </w:rPr>
      </w:r>
    </w:p>
    <w:p w:rsidR="00000000" w:rsidDel="00000000" w:rsidP="00000000" w:rsidRDefault="00000000" w:rsidRPr="00000000" w14:paraId="00000057">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易</w:t>
      </w:r>
    </w:p>
    <w:p w:rsidR="00000000" w:rsidDel="00000000" w:rsidP="00000000" w:rsidRDefault="00000000" w:rsidRPr="00000000" w14:paraId="00000058">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Principle and Practice of Radiation Oncology, 2013 (6th edition), Carlos A. Perez, Luther W. Brady; Chapter 52.</w:t>
      </w:r>
    </w:p>
    <w:p w:rsidR="00000000" w:rsidDel="00000000" w:rsidP="00000000" w:rsidRDefault="00000000" w:rsidRPr="00000000" w14:paraId="00000059">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P984-5, Malignant mediastinal germ cell tumor; Natural history, General management; Seminoma第一線治療為cisplatin-based化療</w:t>
      </w:r>
    </w:p>
    <w:p w:rsidR="00000000" w:rsidDel="00000000" w:rsidP="00000000" w:rsidRDefault="00000000" w:rsidRPr="00000000" w14:paraId="000000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下列關於立體定位消融放射治療(stereotactic ablative radiotherapy, SABR)於早期肺癌的臨床試驗結果敘述，何者為非?</w:t>
      </w:r>
    </w:p>
    <w:p w:rsidR="00000000" w:rsidDel="00000000" w:rsidP="00000000" w:rsidRDefault="00000000" w:rsidRPr="00000000" w14:paraId="0000005B">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RTOG 0813 (Bezjak ASTRO 2016)研究不可開刀且腫瘤位置於中央(離主支氣管bronchial tree &lt;2cm)之早期肺癌的SABR劑量(50Gy/5fx – 60Gy/5fx)，發現第三級副作用為6-7%  </w:t>
      </w:r>
    </w:p>
    <w:p w:rsidR="00000000" w:rsidDel="00000000" w:rsidP="00000000" w:rsidRDefault="00000000" w:rsidRPr="00000000" w14:paraId="0000005C">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RTOG 0618 (Timmerman ASCO 2013)研究SABR(60Gy/3fx)治療不可開刀且腫瘤位置於周邊之早期肺癌，發現第三級副作用為16%</w:t>
      </w:r>
    </w:p>
    <w:p w:rsidR="00000000" w:rsidDel="00000000" w:rsidP="00000000" w:rsidRDefault="00000000" w:rsidRPr="00000000" w14:paraId="0000005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RTOG 0915 (Videtic IJROBP 2015)比較34Gy/1fx和48Gy/4fx的SABR劑量治療不可開刀且腫瘤位置於周邊之早期肺癌，發現副作用發生率於單次治療組為10.3%，分次治療則是13.3% </w:t>
      </w:r>
    </w:p>
    <w:p w:rsidR="00000000" w:rsidDel="00000000" w:rsidP="00000000" w:rsidRDefault="00000000" w:rsidRPr="00000000" w14:paraId="0000005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RTOG 0236 (Timmerman 2010)研究SABR (60Gy/3fx)治療不可開刀且腫瘤位置於周邊之早期肺癌，發現第三級副作用為12.7%，第四級副作用為3.6%</w:t>
      </w:r>
    </w:p>
    <w:p w:rsidR="00000000" w:rsidDel="00000000" w:rsidP="00000000" w:rsidRDefault="00000000" w:rsidRPr="00000000" w14:paraId="0000005F">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(肺部腫瘤: SBRT)</w:t>
      </w:r>
      <w:r w:rsidDel="00000000" w:rsidR="00000000" w:rsidRPr="00000000">
        <w:rPr>
          <w:rtl w:val="0"/>
        </w:rPr>
      </w:r>
    </w:p>
    <w:p w:rsidR="00000000" w:rsidDel="00000000" w:rsidP="00000000" w:rsidRDefault="00000000" w:rsidRPr="00000000" w14:paraId="00000060">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61">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Handbook of Evidence-based Radiation Oncology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Eric K. Hansen, Mack Roach III; Chapter 15, p305; 2018.</w:t>
      </w:r>
    </w:p>
    <w:p w:rsidR="00000000" w:rsidDel="00000000" w:rsidP="00000000" w:rsidRDefault="00000000" w:rsidRPr="00000000" w14:paraId="00000062">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P305, RTOG 0618 medically operable T1-3N0, 其他皆為不可開刀SABR trial</w:t>
      </w:r>
    </w:p>
    <w:p w:rsidR="00000000" w:rsidDel="00000000" w:rsidP="00000000" w:rsidRDefault="00000000" w:rsidRPr="00000000" w14:paraId="000000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有關Intergroup/RTOG 0139，下列敘述何者為誤？</w:t>
      </w:r>
    </w:p>
    <w:p w:rsidR="00000000" w:rsidDel="00000000" w:rsidP="00000000" w:rsidRDefault="00000000" w:rsidRPr="00000000" w14:paraId="0000006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收案標準為可開刀的非小細胞癌病人，且需病理確認為pN2淋巴分期</w:t>
      </w:r>
    </w:p>
    <w:p w:rsidR="00000000" w:rsidDel="00000000" w:rsidP="00000000" w:rsidRDefault="00000000" w:rsidRPr="00000000" w14:paraId="0000006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比較分析前導性同步放化療至45Gy後無惡化之病人族群，隨機分派至手術和根治性同步放化療至61Gy的治療結果</w:t>
      </w:r>
    </w:p>
    <w:p w:rsidR="00000000" w:rsidDel="00000000" w:rsidP="00000000" w:rsidRDefault="00000000" w:rsidRPr="00000000" w14:paraId="00000066">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手術組和根治性同步放化療組均再接受四個週期之輔助性化學治療</w:t>
      </w:r>
    </w:p>
    <w:p w:rsidR="00000000" w:rsidDel="00000000" w:rsidP="00000000" w:rsidRDefault="00000000" w:rsidRPr="00000000" w14:paraId="00000067">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經統計分析，手術組有較佳的五年無進展存活率，但整體存活率沒有差別</w:t>
      </w:r>
    </w:p>
    <w:p w:rsidR="00000000" w:rsidDel="00000000" w:rsidP="00000000" w:rsidRDefault="00000000" w:rsidRPr="00000000" w14:paraId="00000068">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(肺部腫瘤: NSCLC CCRT)</w:t>
      </w:r>
      <w:r w:rsidDel="00000000" w:rsidR="00000000" w:rsidRPr="00000000">
        <w:rPr>
          <w:rtl w:val="0"/>
        </w:rPr>
      </w:r>
    </w:p>
    <w:p w:rsidR="00000000" w:rsidDel="00000000" w:rsidP="00000000" w:rsidRDefault="00000000" w:rsidRPr="00000000" w14:paraId="00000069">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6A">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Handbook of Evidence-based Radiation Oncology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Eric K. Hansen, Mack Roach III; Chapter 15, p309; 2018.</w:t>
      </w:r>
    </w:p>
    <w:p w:rsidR="00000000" w:rsidDel="00000000" w:rsidP="00000000" w:rsidRDefault="00000000" w:rsidRPr="00000000" w14:paraId="0000006B">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P309, two cycles of cisplatin and etoposide</w:t>
      </w:r>
    </w:p>
    <w:p w:rsidR="00000000" w:rsidDel="00000000" w:rsidP="00000000" w:rsidRDefault="00000000" w:rsidRPr="00000000" w14:paraId="0000006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134" w:right="0" w:hanging="1134"/>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根據ASTRO clinical practice guideline，關於stereotactic body radiotherapy (SBRT)於早期非小細胞肺癌的治療共識，下列何者為誤？</w:t>
      </w:r>
    </w:p>
    <w:p w:rsidR="00000000" w:rsidDel="00000000" w:rsidP="00000000" w:rsidRDefault="00000000" w:rsidRPr="00000000" w14:paraId="0000006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於早期可開刀非小細胞肺癌病人，若為“standard operative risk”則不建議SBRT，除非加入臨床試驗</w:t>
      </w:r>
    </w:p>
    <w:p w:rsidR="00000000" w:rsidDel="00000000" w:rsidP="00000000" w:rsidRDefault="00000000" w:rsidRPr="00000000" w14:paraId="0000006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只要符合週邊正常組織的劑量限制，直徑大於5公分的早期非小細胞肺癌仍可評估SBRT</w:t>
      </w:r>
    </w:p>
    <w:p w:rsidR="00000000" w:rsidDel="00000000" w:rsidP="00000000" w:rsidRDefault="00000000" w:rsidRPr="00000000" w14:paraId="0000006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未經病理診斷的早期非小細胞肺癌病人(拒絕切片或切片失敗)，可經由團隊會議討論其影像及臨床表現做臨床診斷之依據，評估接受SBRT </w:t>
      </w:r>
    </w:p>
    <w:p w:rsidR="00000000" w:rsidDel="00000000" w:rsidP="00000000" w:rsidRDefault="00000000" w:rsidRPr="00000000" w14:paraId="0000007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01" w:right="0" w:hanging="567"/>
        <w:contextualSpacing w:val="0"/>
        <w:jc w:val="left"/>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治療異時性(metachronous)之多原發肺癌(multiple primary lung cancers)的局部控制率、副作用和單顆肺癌一樣，但存活率較差</w:t>
      </w:r>
    </w:p>
    <w:p w:rsidR="00000000" w:rsidDel="00000000" w:rsidP="00000000" w:rsidRDefault="00000000" w:rsidRPr="00000000" w14:paraId="00000071">
      <w:pPr>
        <w:keepNext w:val="0"/>
        <w:keepLines w:val="0"/>
        <w:widowControl w:val="1"/>
        <w:numPr>
          <w:ilvl w:val="2"/>
          <w:numId w:val="3"/>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contextualSpacing w:val="0"/>
        <w:jc w:val="left"/>
        <w:rPr>
          <w:rFonts w:ascii="Times New Roman" w:cs="Times New Roman" w:eastAsia="Times New Roman" w:hAnsi="Times New Roman"/>
          <w:b w:val="1"/>
          <w:i w:val="1"/>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(肺部腫瘤: SBRT)</w:t>
      </w:r>
      <w:r w:rsidDel="00000000" w:rsidR="00000000" w:rsidRPr="00000000">
        <w:rPr>
          <w:rtl w:val="0"/>
        </w:rPr>
      </w:r>
    </w:p>
    <w:p w:rsidR="00000000" w:rsidDel="00000000" w:rsidP="00000000" w:rsidRDefault="00000000" w:rsidRPr="00000000" w14:paraId="00000072">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中等</w:t>
      </w:r>
    </w:p>
    <w:p w:rsidR="00000000" w:rsidDel="00000000" w:rsidP="00000000" w:rsidRDefault="00000000" w:rsidRPr="00000000" w14:paraId="00000073">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Stereotactic body radiation therapy for earlystage non-small cell lung cancer: Executive Summary of an ASTRO Evidence-Based Guideline, Practical Radiation Oncology (2017) 7, 295-301</w:t>
      </w:r>
    </w:p>
    <w:p w:rsidR="00000000" w:rsidDel="00000000" w:rsidP="00000000" w:rsidRDefault="00000000" w:rsidRPr="00000000" w14:paraId="00000074">
      <w:pPr>
        <w:keepNext w:val="0"/>
        <w:keepLines w:val="0"/>
        <w:widowControl w:val="1"/>
        <w:numPr>
          <w:ilvl w:val="5"/>
          <w:numId w:val="3"/>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2268" w:right="0" w:hanging="1134"/>
        <w:contextualSpacing w:val="0"/>
        <w:jc w:val="left"/>
        <w:rPr>
          <w:rFonts w:ascii="Times New Roman" w:cs="Times New Roman" w:eastAsia="Times New Roman" w:hAnsi="Times New Roman"/>
          <w:b w:val="0"/>
          <w:i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SBRT for metachronous MPLC has equivalent rates of local control and toxicity and overall survival compared with those with single tumors.</w:t>
      </w:r>
    </w:p>
    <w:sectPr>
      <w:pgSz w:h="16838" w:w="11906"/>
      <w:pgMar w:bottom="851" w:top="851" w:left="851" w:right="85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標楷體"/>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6"/>
      <w:numFmt w:val="decimal"/>
      <w:lvlText w:val="%1."/>
      <w:lvlJc w:val="left"/>
      <w:pPr>
        <w:ind w:left="360" w:hanging="360"/>
      </w:pPr>
      <w:rPr>
        <w:b w:val="1"/>
        <w:sz w:val="24"/>
        <w:szCs w:val="24"/>
        <w:vertAlign w:val="baseline"/>
      </w:rPr>
    </w:lvl>
    <w:lvl w:ilvl="1">
      <w:start w:val="1"/>
      <w:numFmt w:val="decimal"/>
      <w:lvlText w:val="%2、"/>
      <w:lvlJc w:val="left"/>
      <w:pPr>
        <w:ind w:left="118" w:hanging="480"/>
      </w:pPr>
      <w:rPr>
        <w:vertAlign w:val="baseline"/>
      </w:rPr>
    </w:lvl>
    <w:lvl w:ilvl="2">
      <w:start w:val="1"/>
      <w:numFmt w:val="lowerRoman"/>
      <w:lvlText w:val="%3."/>
      <w:lvlJc w:val="right"/>
      <w:pPr>
        <w:ind w:left="598" w:hanging="480"/>
      </w:pPr>
      <w:rPr>
        <w:vertAlign w:val="baseline"/>
      </w:rPr>
    </w:lvl>
    <w:lvl w:ilvl="3">
      <w:start w:val="1"/>
      <w:numFmt w:val="decimal"/>
      <w:lvlText w:val="%4."/>
      <w:lvlJc w:val="left"/>
      <w:pPr>
        <w:ind w:left="1078" w:hanging="480"/>
      </w:pPr>
      <w:rPr>
        <w:vertAlign w:val="baseline"/>
      </w:rPr>
    </w:lvl>
    <w:lvl w:ilvl="4">
      <w:start w:val="1"/>
      <w:numFmt w:val="decimal"/>
      <w:lvlText w:val="%5、"/>
      <w:lvlJc w:val="left"/>
      <w:pPr>
        <w:ind w:left="1558" w:hanging="480"/>
      </w:pPr>
      <w:rPr>
        <w:vertAlign w:val="baseline"/>
      </w:rPr>
    </w:lvl>
    <w:lvl w:ilvl="5">
      <w:start w:val="1"/>
      <w:numFmt w:val="lowerRoman"/>
      <w:lvlText w:val="%6."/>
      <w:lvlJc w:val="right"/>
      <w:pPr>
        <w:ind w:left="2038" w:hanging="480"/>
      </w:pPr>
      <w:rPr>
        <w:vertAlign w:val="baseline"/>
      </w:rPr>
    </w:lvl>
    <w:lvl w:ilvl="6">
      <w:start w:val="1"/>
      <w:numFmt w:val="decimal"/>
      <w:lvlText w:val="%7."/>
      <w:lvlJc w:val="left"/>
      <w:pPr>
        <w:ind w:left="2518" w:hanging="480"/>
      </w:pPr>
      <w:rPr>
        <w:vertAlign w:val="baseline"/>
      </w:rPr>
    </w:lvl>
    <w:lvl w:ilvl="7">
      <w:start w:val="1"/>
      <w:numFmt w:val="decimal"/>
      <w:lvlText w:val="%8、"/>
      <w:lvlJc w:val="left"/>
      <w:pPr>
        <w:ind w:left="2998" w:hanging="480"/>
      </w:pPr>
      <w:rPr>
        <w:vertAlign w:val="baseline"/>
      </w:rPr>
    </w:lvl>
    <w:lvl w:ilvl="8">
      <w:start w:val="1"/>
      <w:numFmt w:val="lowerRoman"/>
      <w:lvlText w:val="%9."/>
      <w:lvlJc w:val="right"/>
      <w:pPr>
        <w:ind w:left="3478" w:hanging="4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960" w:hanging="480"/>
      </w:pPr>
      <w:rPr>
        <w:sz w:val="28"/>
        <w:szCs w:val="28"/>
        <w:vertAlign w:val="baseline"/>
      </w:rPr>
    </w:lvl>
    <w:lvl w:ilvl="2">
      <w:start w:val="1"/>
      <w:numFmt w:val="lowerRoman"/>
      <w:lvlText w:val="%3."/>
      <w:lvlJc w:val="right"/>
      <w:pPr>
        <w:ind w:left="1440" w:hanging="480"/>
      </w:pPr>
      <w:rPr>
        <w:vertAlign w:val="baseline"/>
      </w:rPr>
    </w:lvl>
    <w:lvl w:ilvl="3">
      <w:start w:val="1"/>
      <w:numFmt w:val="lowerLetter"/>
      <w:lvlText w:val="%4."/>
      <w:lvlJc w:val="left"/>
      <w:pPr>
        <w:ind w:left="1920" w:hanging="480"/>
      </w:pPr>
      <w:rPr>
        <w:color w:val="000000"/>
        <w:sz w:val="28"/>
        <w:szCs w:val="28"/>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
    <w:lvl w:ilvl="0">
      <w:start w:val="1"/>
      <w:numFmt w:val="decimal"/>
      <w:lvlText w:val="%1. (        )"/>
      <w:lvlJc w:val="left"/>
      <w:pPr>
        <w:ind w:left="1134" w:hanging="1134"/>
      </w:pPr>
      <w:rPr>
        <w:vertAlign w:val="baseline"/>
      </w:rPr>
    </w:lvl>
    <w:lvl w:ilvl="1">
      <w:start w:val="1"/>
      <w:numFmt w:val="upperLetter"/>
      <w:lvlText w:val="%2)"/>
      <w:lvlJc w:val="left"/>
      <w:pPr>
        <w:ind w:left="1701" w:hanging="567"/>
      </w:pPr>
      <w:rPr>
        <w:vertAlign w:val="baseline"/>
      </w:rPr>
    </w:lvl>
    <w:lvl w:ilvl="2">
      <w:start w:val="1"/>
      <w:numFmt w:val="decimal"/>
      <w:lvlText w:val="(%3 答案):"/>
      <w:lvlJc w:val="left"/>
      <w:pPr>
        <w:ind w:left="2268" w:hanging="1134"/>
      </w:pPr>
      <w:rPr>
        <w:vertAlign w:val="baseline"/>
      </w:rPr>
    </w:lvl>
    <w:lvl w:ilvl="3">
      <w:start w:val="1"/>
      <w:numFmt w:val="decimal"/>
      <w:lvlText w:val="(%4 難易度):"/>
      <w:lvlJc w:val="left"/>
      <w:pPr>
        <w:ind w:left="2268" w:hanging="1134"/>
      </w:pPr>
      <w:rPr>
        <w:vertAlign w:val="baseline"/>
      </w:rPr>
    </w:lvl>
    <w:lvl w:ilvl="4">
      <w:start w:val="1"/>
      <w:numFmt w:val="decimal"/>
      <w:lvlText w:val="(%5 參考文獻): "/>
      <w:lvlJc w:val="left"/>
      <w:pPr>
        <w:ind w:left="2835" w:hanging="1701"/>
      </w:pPr>
      <w:rPr>
        <w:vertAlign w:val="baseline"/>
      </w:rPr>
    </w:lvl>
    <w:lvl w:ilvl="5">
      <w:start w:val="1"/>
      <w:numFmt w:val="decimal"/>
      <w:lvlText w:val="(%6 註解):"/>
      <w:lvlJc w:val="left"/>
      <w:pPr>
        <w:ind w:left="2835" w:hanging="1701"/>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ind w:left="960" w:hanging="480"/>
      <w:contextualSpacing w:val="0"/>
    </w:pPr>
    <w:rPr>
      <w:sz w:val="28"/>
      <w:szCs w:val="28"/>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widowControl w:val="0"/>
      <w:spacing w:line="720" w:lineRule="auto"/>
    </w:pPr>
    <w:rPr>
      <w:rFonts w:ascii="Cambria" w:cs="Cambria" w:eastAsia="Cambria" w:hAnsi="Cambria"/>
      <w:b w:val="1"/>
      <w:sz w:val="36"/>
      <w:szCs w:val="36"/>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1"/>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ar-SA" w:eastAsia="zh-TW" w:val="en-US"/>
    </w:rPr>
  </w:style>
  <w:style w:type="paragraph" w:styleId="Heading1">
    <w:name w:val="Heading 1"/>
    <w:basedOn w:val="Normal"/>
    <w:next w:val="Normal"/>
    <w:autoRedefine w:val="0"/>
    <w:hidden w:val="0"/>
    <w:qFormat w:val="0"/>
    <w:pPr>
      <w:keepNext w:val="1"/>
      <w:widowControl w:val="0"/>
      <w:numPr>
        <w:ilvl w:val="1"/>
        <w:numId w:val="4"/>
      </w:numPr>
      <w:suppressAutoHyphens w:val="1"/>
      <w:adjustRightInd w:val="0"/>
      <w:spacing w:line="300" w:lineRule="atLeast"/>
      <w:ind w:leftChars="-1" w:rightChars="0" w:firstLineChars="-1"/>
      <w:textDirection w:val="btLr"/>
      <w:textAlignment w:val="top"/>
      <w:outlineLvl w:val="0"/>
    </w:pPr>
    <w:rPr>
      <w:w w:val="100"/>
      <w:kern w:val="2"/>
      <w:position w:val="-1"/>
      <w:sz w:val="28"/>
      <w:szCs w:val="24"/>
      <w:effect w:val="none"/>
      <w:vertAlign w:val="baseline"/>
      <w:cs w:val="0"/>
      <w:em w:val="none"/>
      <w:lang w:bidi="ar-SA" w:eastAsia="zh-TW" w:val="en-US"/>
    </w:rPr>
  </w:style>
  <w:style w:type="paragraph" w:styleId="Heading3">
    <w:name w:val="Heading 3"/>
    <w:basedOn w:val="Normal"/>
    <w:next w:val="Normal"/>
    <w:autoRedefine w:val="0"/>
    <w:hidden w:val="0"/>
    <w:qFormat w:val="1"/>
    <w:pPr>
      <w:keepNext w:val="1"/>
      <w:widowControl w:val="0"/>
      <w:suppressAutoHyphens w:val="1"/>
      <w:spacing w:line="720" w:lineRule="auto"/>
      <w:ind w:leftChars="-1" w:rightChars="0" w:firstLineChars="-1"/>
      <w:textDirection w:val="btLr"/>
      <w:textAlignment w:val="top"/>
      <w:outlineLvl w:val="2"/>
    </w:pPr>
    <w:rPr>
      <w:rFonts w:ascii="Cambria" w:hAnsi="Cambria"/>
      <w:b w:val="1"/>
      <w:bCs w:val="1"/>
      <w:w w:val="100"/>
      <w:kern w:val="2"/>
      <w:position w:val="-1"/>
      <w:sz w:val="36"/>
      <w:szCs w:val="36"/>
      <w:effect w:val="none"/>
      <w:vertAlign w:val="baseline"/>
      <w:cs w:val="0"/>
      <w:em w:val="none"/>
      <w:lang w:bidi="ar-SA" w:eastAsia="zh-TW"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nswer">
    <w:name w:val="Answer"/>
    <w:basedOn w:val="Normal"/>
    <w:next w:val="QuizLevel"/>
    <w:autoRedefine w:val="0"/>
    <w:hidden w:val="0"/>
    <w:qFormat w:val="0"/>
    <w:pPr>
      <w:widowControl w:val="1"/>
      <w:numPr>
        <w:ilvl w:val="2"/>
        <w:numId w:val="2"/>
      </w:numPr>
      <w:tabs>
        <w:tab w:val="clear" w:pos="2268"/>
        <w:tab w:val="left" w:leader="none" w:pos="2835"/>
      </w:tabs>
      <w:suppressAutoHyphens w:val="1"/>
      <w:spacing w:after="120" w:before="120" w:line="1" w:lineRule="atLeast"/>
      <w:ind w:leftChars="-1" w:rightChars="0" w:firstLineChars="-1"/>
      <w:textDirection w:val="btLr"/>
      <w:textAlignment w:val="top"/>
      <w:outlineLvl w:val="0"/>
    </w:pPr>
    <w:rPr>
      <w:b w:val="1"/>
      <w:i w:val="1"/>
      <w:w w:val="100"/>
      <w:kern w:val="0"/>
      <w:position w:val="-1"/>
      <w:sz w:val="24"/>
      <w:szCs w:val="24"/>
      <w:effect w:val="none"/>
      <w:vertAlign w:val="baseline"/>
      <w:cs w:val="0"/>
      <w:em w:val="none"/>
      <w:lang w:bidi="ar-SA" w:eastAsia="zh-TW" w:val="en-US"/>
    </w:rPr>
  </w:style>
  <w:style w:type="paragraph" w:styleId="Choice">
    <w:name w:val="Choice"/>
    <w:basedOn w:val="Normal"/>
    <w:next w:val="Choice"/>
    <w:autoRedefine w:val="0"/>
    <w:hidden w:val="0"/>
    <w:qFormat w:val="0"/>
    <w:pPr>
      <w:widowControl w:val="1"/>
      <w:numPr>
        <w:ilvl w:val="1"/>
        <w:numId w:val="2"/>
      </w:numPr>
      <w:suppressAutoHyphens w:val="1"/>
      <w:spacing w:line="1" w:lineRule="atLeast"/>
      <w:ind w:leftChars="-1" w:rightChars="0" w:firstLineChars="-1"/>
      <w:textDirection w:val="btLr"/>
      <w:textAlignment w:val="top"/>
      <w:outlineLvl w:val="0"/>
    </w:pPr>
    <w:rPr>
      <w:w w:val="100"/>
      <w:kern w:val="0"/>
      <w:position w:val="-1"/>
      <w:sz w:val="24"/>
      <w:szCs w:val="20"/>
      <w:effect w:val="none"/>
      <w:vertAlign w:val="baseline"/>
      <w:cs w:val="0"/>
      <w:em w:val="none"/>
      <w:lang w:bidi="ar-SA" w:eastAsia="zh-TW" w:val="en-US"/>
    </w:rPr>
  </w:style>
  <w:style w:type="paragraph" w:styleId="Question">
    <w:name w:val="Question"/>
    <w:basedOn w:val="Normal"/>
    <w:next w:val="Choice"/>
    <w:autoRedefine w:val="0"/>
    <w:hidden w:val="0"/>
    <w:qFormat w:val="0"/>
    <w:pPr>
      <w:widowControl w:val="1"/>
      <w:numPr>
        <w:ilvl w:val="0"/>
        <w:numId w:val="2"/>
      </w:numPr>
      <w:suppressAutoHyphens w:val="1"/>
      <w:spacing w:before="120" w:line="1" w:lineRule="atLeast"/>
      <w:ind w:leftChars="-1" w:rightChars="0" w:firstLineChars="-1"/>
      <w:textDirection w:val="btLr"/>
      <w:textAlignment w:val="top"/>
      <w:outlineLvl w:val="0"/>
    </w:pPr>
    <w:rPr>
      <w:w w:val="100"/>
      <w:kern w:val="0"/>
      <w:position w:val="-1"/>
      <w:sz w:val="24"/>
      <w:szCs w:val="20"/>
      <w:effect w:val="none"/>
      <w:vertAlign w:val="baseline"/>
      <w:cs w:val="0"/>
      <w:em w:val="none"/>
      <w:lang w:bidi="ar-SA" w:eastAsia="zh-TW" w:val="en-US"/>
    </w:rPr>
  </w:style>
  <w:style w:type="paragraph" w:styleId="BodyTextIndent">
    <w:name w:val="Body Text Indent"/>
    <w:basedOn w:val="Normal"/>
    <w:next w:val="BodyTextIndent"/>
    <w:autoRedefine w:val="0"/>
    <w:hidden w:val="0"/>
    <w:qFormat w:val="0"/>
    <w:pPr>
      <w:widowControl w:val="0"/>
      <w:suppressAutoHyphens w:val="1"/>
      <w:spacing w:line="1" w:lineRule="atLeast"/>
      <w:ind w:left="840" w:leftChars="-1" w:rightChars="0" w:hanging="840" w:firstLineChars="-300"/>
      <w:textDirection w:val="btLr"/>
      <w:textAlignment w:val="top"/>
      <w:outlineLvl w:val="0"/>
    </w:pPr>
    <w:rPr>
      <w:w w:val="100"/>
      <w:kern w:val="2"/>
      <w:position w:val="-1"/>
      <w:sz w:val="28"/>
      <w:szCs w:val="24"/>
      <w:effect w:val="none"/>
      <w:vertAlign w:val="baseline"/>
      <w:cs w:val="0"/>
      <w:em w:val="none"/>
      <w:lang w:bidi="ar-SA" w:eastAsia="zh-TW" w:val="en-US"/>
    </w:rPr>
  </w:style>
  <w:style w:type="paragraph" w:styleId="Header">
    <w:name w:val="Header"/>
    <w:basedOn w:val="Normal"/>
    <w:next w:val="Header"/>
    <w:autoRedefine w:val="0"/>
    <w:hidden w:val="0"/>
    <w:qFormat w:val="0"/>
    <w:pPr>
      <w:widowControl w:val="0"/>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paragraph" w:styleId="Footer">
    <w:name w:val="Footer"/>
    <w:basedOn w:val="Normal"/>
    <w:next w:val="Footer"/>
    <w:autoRedefine w:val="0"/>
    <w:hidden w:val="0"/>
    <w:qFormat w:val="0"/>
    <w:pPr>
      <w:widowControl w:val="0"/>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paragraph" w:styleId="BodyTextIndent2">
    <w:name w:val="Body Text Indent 2"/>
    <w:basedOn w:val="Normal"/>
    <w:next w:val="BodyTextIndent2"/>
    <w:autoRedefine w:val="0"/>
    <w:hidden w:val="0"/>
    <w:qFormat w:val="0"/>
    <w:pPr>
      <w:widowControl w:val="1"/>
      <w:suppressAutoHyphens w:val="1"/>
      <w:autoSpaceDE w:val="0"/>
      <w:autoSpaceDN w:val="0"/>
      <w:adjustRightInd w:val="0"/>
      <w:spacing w:line="1" w:lineRule="atLeast"/>
      <w:ind w:left="840" w:leftChars="-1" w:rightChars="0" w:hanging="360" w:firstLineChars="-1"/>
      <w:textDirection w:val="btLr"/>
      <w:textAlignment w:val="bottom"/>
      <w:outlineLvl w:val="0"/>
    </w:pPr>
    <w:rPr>
      <w:rFonts w:ascii="細明體" w:eastAsia="細明體"/>
      <w:w w:val="100"/>
      <w:kern w:val="0"/>
      <w:position w:val="-1"/>
      <w:sz w:val="24"/>
      <w:szCs w:val="20"/>
      <w:effect w:val="none"/>
      <w:vertAlign w:val="baseline"/>
      <w:cs w:val="0"/>
      <w:em w:val="none"/>
      <w:lang w:bidi="ar-SA" w:eastAsia="zh-TW" w:val="en-US"/>
    </w:rPr>
  </w:style>
  <w:style w:type="paragraph" w:styleId="BodyTextIndent3">
    <w:name w:val="Body Text Indent 3"/>
    <w:basedOn w:val="Normal"/>
    <w:next w:val="BodyTextIndent3"/>
    <w:autoRedefine w:val="0"/>
    <w:hidden w:val="0"/>
    <w:qFormat w:val="0"/>
    <w:pPr>
      <w:widowControl w:val="1"/>
      <w:suppressAutoHyphens w:val="1"/>
      <w:autoSpaceDE w:val="0"/>
      <w:autoSpaceDN w:val="0"/>
      <w:adjustRightInd w:val="0"/>
      <w:spacing w:line="1" w:lineRule="atLeast"/>
      <w:ind w:left="476" w:leftChars="-1" w:rightChars="0" w:hanging="476" w:firstLineChars="-1"/>
      <w:textDirection w:val="btLr"/>
      <w:textAlignment w:val="bottom"/>
      <w:outlineLvl w:val="0"/>
    </w:pPr>
    <w:rPr>
      <w:rFonts w:ascii="Arial" w:eastAsia="標楷體" w:hAnsi="Arial"/>
      <w:w w:val="100"/>
      <w:kern w:val="0"/>
      <w:position w:val="-1"/>
      <w:sz w:val="24"/>
      <w:szCs w:val="20"/>
      <w:effect w:val="none"/>
      <w:vertAlign w:val="baseline"/>
      <w:cs w:val="0"/>
      <w:em w:val="none"/>
      <w:lang w:bidi="ar-SA" w:eastAsia="zh-TW" w:val="en-US"/>
    </w:rPr>
  </w:style>
  <w:style w:type="paragraph" w:styleId="出題科目">
    <w:name w:val="出題科目"/>
    <w:basedOn w:val="Comment"/>
    <w:next w:val="選用記錄及答對率"/>
    <w:autoRedefine w:val="0"/>
    <w:hidden w:val="0"/>
    <w:qFormat w:val="0"/>
    <w:pPr>
      <w:widowControl w:val="1"/>
      <w:numPr>
        <w:ilvl w:val="0"/>
        <w:numId w:val="0"/>
      </w:numPr>
      <w:tabs>
        <w:tab w:val="num" w:leader="none" w:pos="2268"/>
        <w:tab w:val="left" w:leader="none" w:pos="2835"/>
      </w:tabs>
      <w:suppressAutoHyphens w:val="1"/>
      <w:spacing w:after="120" w:before="0" w:line="1" w:lineRule="atLeast"/>
      <w:ind w:left="2268" w:leftChars="-1" w:rightChars="0" w:hanging="1134" w:firstLineChars="-1"/>
      <w:textDirection w:val="btLr"/>
      <w:textAlignment w:val="top"/>
      <w:outlineLvl w:val="0"/>
    </w:pPr>
    <w:rPr>
      <w:b w:val="0"/>
      <w:i w:val="1"/>
      <w:w w:val="100"/>
      <w:kern w:val="0"/>
      <w:position w:val="-1"/>
      <w:sz w:val="20"/>
      <w:szCs w:val="24"/>
      <w:effect w:val="none"/>
      <w:vertAlign w:val="baseline"/>
      <w:cs w:val="0"/>
      <w:em w:val="none"/>
      <w:lang w:bidi="ar-SA" w:eastAsia="zh-TW" w:val="en-US"/>
    </w:rPr>
  </w:style>
  <w:style w:type="paragraph" w:styleId="NormalIndent">
    <w:name w:val="Normal Indent"/>
    <w:basedOn w:val="Normal"/>
    <w:next w:val="NormalIndent"/>
    <w:autoRedefine w:val="0"/>
    <w:hidden w:val="0"/>
    <w:qFormat w:val="0"/>
    <w:pPr>
      <w:widowControl w:val="0"/>
      <w:suppressAutoHyphens w:val="1"/>
      <w:spacing w:line="1" w:lineRule="atLeast"/>
      <w:ind w:left="480" w:leftChars="200" w:rightChars="0" w:firstLineChars="-1"/>
      <w:textDirection w:val="btLr"/>
      <w:textAlignment w:val="top"/>
      <w:outlineLvl w:val="0"/>
    </w:pPr>
    <w:rPr>
      <w:w w:val="100"/>
      <w:kern w:val="2"/>
      <w:position w:val="-1"/>
      <w:sz w:val="24"/>
      <w:szCs w:val="24"/>
      <w:effect w:val="none"/>
      <w:vertAlign w:val="baseline"/>
      <w:cs w:val="0"/>
      <w:em w:val="none"/>
      <w:lang w:bidi="ar-SA" w:eastAsia="zh-TW" w:val="en-US"/>
    </w:rPr>
  </w:style>
  <w:style w:type="paragraph" w:styleId="Ref">
    <w:name w:val="Ref"/>
    <w:basedOn w:val="QuizLevel"/>
    <w:next w:val="Comment"/>
    <w:autoRedefine w:val="0"/>
    <w:hidden w:val="0"/>
    <w:qFormat w:val="0"/>
    <w:pPr>
      <w:widowControl w:val="1"/>
      <w:numPr>
        <w:ilvl w:val="4"/>
        <w:numId w:val="2"/>
      </w:numPr>
      <w:tabs>
        <w:tab w:val="clear" w:pos="2574"/>
        <w:tab w:val="left" w:leader="none" w:pos="2835"/>
      </w:tabs>
      <w:suppressAutoHyphens w:val="1"/>
      <w:spacing w:after="120" w:before="0" w:line="1" w:lineRule="atLeast"/>
      <w:ind w:leftChars="-1" w:rightChars="0" w:firstLineChars="-1"/>
      <w:textDirection w:val="btLr"/>
      <w:textAlignment w:val="top"/>
      <w:outlineLvl w:val="0"/>
    </w:pPr>
    <w:rPr>
      <w:b w:val="0"/>
      <w:i w:val="0"/>
      <w:w w:val="100"/>
      <w:kern w:val="0"/>
      <w:position w:val="-1"/>
      <w:sz w:val="20"/>
      <w:szCs w:val="24"/>
      <w:effect w:val="none"/>
      <w:vertAlign w:val="baseline"/>
      <w:cs w:val="0"/>
      <w:em w:val="none"/>
      <w:lang w:bidi="ar-SA" w:eastAsia="zh-TW" w:val="en-US"/>
    </w:rPr>
  </w:style>
  <w:style w:type="paragraph" w:styleId="QuizLevel">
    <w:name w:val="QuizLevel"/>
    <w:basedOn w:val="Answer"/>
    <w:next w:val="Ref"/>
    <w:autoRedefine w:val="0"/>
    <w:hidden w:val="0"/>
    <w:qFormat w:val="0"/>
    <w:pPr>
      <w:widowControl w:val="1"/>
      <w:numPr>
        <w:ilvl w:val="3"/>
        <w:numId w:val="2"/>
      </w:numPr>
      <w:tabs>
        <w:tab w:val="clear" w:pos="2574"/>
        <w:tab w:val="left" w:leader="none" w:pos="2835"/>
      </w:tabs>
      <w:suppressAutoHyphens w:val="1"/>
      <w:spacing w:after="120" w:before="0" w:line="1" w:lineRule="atLeast"/>
      <w:ind w:leftChars="-1" w:rightChars="0" w:firstLineChars="-1"/>
      <w:textDirection w:val="btLr"/>
      <w:textAlignment w:val="top"/>
      <w:outlineLvl w:val="0"/>
    </w:pPr>
    <w:rPr>
      <w:b w:val="0"/>
      <w:i w:val="0"/>
      <w:w w:val="100"/>
      <w:kern w:val="0"/>
      <w:position w:val="-1"/>
      <w:sz w:val="20"/>
      <w:szCs w:val="24"/>
      <w:effect w:val="none"/>
      <w:vertAlign w:val="baseline"/>
      <w:cs w:val="0"/>
      <w:em w:val="none"/>
      <w:lang w:bidi="ar-SA" w:eastAsia="zh-TW" w:val="en-US"/>
    </w:rPr>
  </w:style>
  <w:style w:type="paragraph" w:styleId="Comment">
    <w:name w:val="Comment"/>
    <w:basedOn w:val="Ref"/>
    <w:next w:val="Question"/>
    <w:autoRedefine w:val="0"/>
    <w:hidden w:val="0"/>
    <w:qFormat w:val="0"/>
    <w:pPr>
      <w:widowControl w:val="1"/>
      <w:numPr>
        <w:ilvl w:val="5"/>
        <w:numId w:val="2"/>
      </w:numPr>
      <w:tabs>
        <w:tab w:val="clear" w:pos="2574"/>
        <w:tab w:val="left" w:leader="none" w:pos="2835"/>
      </w:tabs>
      <w:suppressAutoHyphens w:val="1"/>
      <w:spacing w:after="120" w:before="0" w:line="1" w:lineRule="atLeast"/>
      <w:ind w:leftChars="-1" w:rightChars="0" w:firstLineChars="-1"/>
      <w:textDirection w:val="btLr"/>
      <w:textAlignment w:val="top"/>
      <w:outlineLvl w:val="0"/>
    </w:pPr>
    <w:rPr>
      <w:b w:val="0"/>
      <w:i w:val="0"/>
      <w:w w:val="100"/>
      <w:kern w:val="0"/>
      <w:position w:val="-1"/>
      <w:sz w:val="20"/>
      <w:szCs w:val="24"/>
      <w:effect w:val="none"/>
      <w:vertAlign w:val="baseline"/>
      <w:cs w:val="0"/>
      <w:em w:val="none"/>
      <w:lang w:bidi="ar-SA" w:eastAsia="zh-TW" w:val="en-US"/>
    </w:rPr>
  </w:style>
  <w:style w:type="paragraph" w:styleId="選用記錄及答對率">
    <w:name w:val="選用記錄及答對率"/>
    <w:basedOn w:val="出題科目"/>
    <w:next w:val="Question"/>
    <w:autoRedefine w:val="0"/>
    <w:hidden w:val="0"/>
    <w:qFormat w:val="0"/>
    <w:pPr>
      <w:widowControl w:val="1"/>
      <w:numPr>
        <w:ilvl w:val="0"/>
        <w:numId w:val="0"/>
      </w:numPr>
      <w:tabs>
        <w:tab w:val="num" w:leader="none" w:pos="2268"/>
        <w:tab w:val="left" w:leader="none" w:pos="2835"/>
      </w:tabs>
      <w:suppressAutoHyphens w:val="1"/>
      <w:spacing w:after="120" w:before="0" w:line="1" w:lineRule="atLeast"/>
      <w:ind w:left="2268" w:leftChars="-1" w:rightChars="0" w:hanging="1134" w:firstLineChars="-1"/>
      <w:textDirection w:val="btLr"/>
      <w:textAlignment w:val="top"/>
      <w:outlineLvl w:val="0"/>
    </w:pPr>
    <w:rPr>
      <w:b w:val="0"/>
      <w:i w:val="1"/>
      <w:w w:val="100"/>
      <w:kern w:val="0"/>
      <w:position w:val="-1"/>
      <w:sz w:val="20"/>
      <w:szCs w:val="24"/>
      <w:effect w:val="none"/>
      <w:vertAlign w:val="baseline"/>
      <w:cs w:val="0"/>
      <w:em w:val="none"/>
      <w:lang w:bidi="ar-SA" w:eastAsia="zh-TW" w:val="en-US"/>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widowControl w:val="0"/>
      <w:suppressAutoHyphens w:val="1"/>
      <w:spacing w:line="1" w:lineRule="atLeast"/>
      <w:ind w:left="480" w:leftChars="200" w:rightChars="0" w:firstLineChars="-1"/>
      <w:textDirection w:val="btLr"/>
      <w:textAlignment w:val="top"/>
      <w:outlineLvl w:val="0"/>
    </w:pPr>
    <w:rPr>
      <w:rFonts w:ascii="Calibri" w:hAnsi="Calibri"/>
      <w:w w:val="100"/>
      <w:kern w:val="2"/>
      <w:position w:val="-1"/>
      <w:sz w:val="24"/>
      <w:szCs w:val="22"/>
      <w:effect w:val="none"/>
      <w:vertAlign w:val="baseline"/>
      <w:cs w:val="0"/>
      <w:em w:val="none"/>
      <w:lang w:bidi="ar-SA" w:eastAsia="zh-TW" w:val="en-US"/>
    </w:rPr>
  </w:style>
  <w:style w:type="character" w:styleId="Heading3Char">
    <w:name w:val="Heading 3 Char"/>
    <w:next w:val="Heading3Char"/>
    <w:autoRedefine w:val="0"/>
    <w:hidden w:val="0"/>
    <w:qFormat w:val="0"/>
    <w:rPr>
      <w:rFonts w:ascii="Cambria" w:cs="Times New Roman" w:eastAsia="新細明體" w:hAnsi="Cambria"/>
      <w:b w:val="1"/>
      <w:bCs w:val="1"/>
      <w:w w:val="100"/>
      <w:kern w:val="2"/>
      <w:position w:val="-1"/>
      <w:sz w:val="36"/>
      <w:szCs w:val="36"/>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