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2019  H&amp;N cancer  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編輯人: 林長 </w:t>
          </w:r>
        </w:sdtContent>
      </w:sdt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highlight w:val="white"/>
              <w:rtl w:val="0"/>
            </w:rPr>
            <w:t xml:space="preserve">陳柏叡 / 校對人: 中榮 鄭皓升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林長 張東杰 HN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480"/>
        <w:rPr>
          <w:rFonts w:ascii="Times New Roman" w:cs="Times New Roman" w:eastAsia="Times New Roman" w:hAnsi="Times New Roman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就我所知，其實張Ｐ每年考的都不一樣，不過在回答時，答案是什麼其實不是最重要的（只要不要太奇葩就好），真正重要的是答案背後的的</w:t>
          </w:r>
        </w:sdtContent>
      </w:sdt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u w:val="single"/>
              <w:rtl w:val="0"/>
            </w:rPr>
            <w:t xml:space="preserve">想法與邏輯</w:t>
          </w:r>
        </w:sdtContent>
      </w:sdt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。因為他常常考一些比較冷僻的狀況，所以臨場發揮比2019年度的答案重要（看了詳解各位大概可以知道，這些東西不太可能在事前準備好…）。</w:t>
          </w:r>
        </w:sdtContent>
      </w:sdt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480"/>
        <w:rPr>
          <w:rFonts w:ascii="Times New Roman" w:cs="Times New Roman" w:eastAsia="Times New Roman" w:hAnsi="Times New Roman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關於考試內容，大家可以參考2016的回憶錄：「</w:t>
          </w:r>
        </w:sdtContent>
      </w:sdt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rtl w:val="0"/>
            </w:rPr>
            <w:t xml:space="preserve">Laryngeal cancer with thyroid cartilage invasion and ipsilateral neck nodes metastases該如何治療？如果回答induction chemotherapy，就會翻 NCCN guideline 給你看，說 guideline上建議開刀；但也有人回答應該開刀之後，還是翻 NCCN 給你看，說明明還有另外兩種做法，為什麼要prefer surgery? 總之會依照你的回答去挑戰你…</w:t>
          </w:r>
        </w:sdtContent>
      </w:sdt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」</w:t>
          </w:r>
        </w:sdtContent>
      </w:sdt>
    </w:p>
    <w:p w:rsidR="00000000" w:rsidDel="00000000" w:rsidP="00000000" w:rsidRDefault="00000000" w:rsidRPr="00000000" w14:paraId="00000006">
      <w:pPr>
        <w:ind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480"/>
        <w:rPr>
          <w:rFonts w:ascii="Times New Roman" w:cs="Times New Roman" w:eastAsia="Times New Roman" w:hAnsi="Times New Roman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總之，回答出來的答案雖然不一定要完全貼合指引，但</w:t>
          </w:r>
        </w:sdtContent>
      </w:sdt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u w:val="single"/>
              <w:rtl w:val="0"/>
            </w:rPr>
            <w:t xml:space="preserve">一定要符合邏輯</w:t>
          </w:r>
        </w:sdtContent>
      </w:sdt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。因為只有答案正確也不會簡單放過去，張Ｐ會繼續追問後面的一百個為什麼。有幾點可以提供回答時的方向參考：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不太喜歡考分期（原音：</w:t>
          </w:r>
        </w:sdtContent>
      </w:sdt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可以查到的東西幹嘛要背？</w:t>
          </w:r>
        </w:sdtContent>
      </w:sdt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）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很在意生活品質，治療毒性越低越好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如果有一種做法可以減少毒性，雖然復發率比較高但可以salvage處理時，那在病人知情同意下是可以進行的（原音：</w:t>
          </w:r>
        </w:sdtContent>
      </w:sdt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復發率15%，那代表另外85%病人都是我們多照的</w:t>
          </w:r>
        </w:sdtContent>
      </w:sdt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）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有些東西或許還沒有實證，但只要有可能性、未來性都可以抓來當回答的依據。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480" w:firstLine="0"/>
        <w:rPr>
          <w:rFonts w:ascii="Times New Roman" w:cs="Times New Roman" w:eastAsia="Times New Roman" w:hAnsi="Times New Roman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以上資訊希望有一點點幫忙…以下是2019年的詳解參考：</w:t>
          </w:r>
        </w:sdtContent>
      </w:sdt>
    </w:p>
    <w:p w:rsidR="00000000" w:rsidDel="00000000" w:rsidP="00000000" w:rsidRDefault="00000000" w:rsidRPr="00000000" w14:paraId="0000000E">
      <w:pPr>
        <w:ind w:left="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給一張MRI (Bulky nasal/maxillary sinus tumor, contact right eye), N0, 病人不想開刀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先Bx確定診斷: Adenoid cystic carcinoma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WU: Chest 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治療選項: C/T+CCRT, CCRT, RT, C/T, 理由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CCRT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給物理師compromise順位</w:t>
          </w:r>
        </w:sdtContent>
      </w:sdt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Introduction of adenoid cystic carcinoma (ACC)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Low-grade malignant tumor of salivary glands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rates of local recurrence (prone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nerve invasion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rates of distant metastases (typically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(~40%)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occur even 20 to 30 years after treatment of the primary tumor.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role for chemotherapy in adenoid cystic carcinoma treatment is still developing (Slow growth kinetics and do not benefit from systemic chemotherapy.)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Surgery followed by RT is recommended by NCCN guideline, and neural pathways to the skull base should be included.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Q: Management of locally advanced maxillary ACC?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A: 若外科醫師評估為可開刀，目前NCCN guideline仍建議以開刀後追加放射治療為主要治療選擇，針對全身性治療目前並沒有建議或結論。</w:t>
          </w:r>
        </w:sdtContent>
      </w:sdt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Q: Possible surgical complication?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A: 因為病患腫瘤已經影響到眼框，當進行手術後可能造成眼位不正、復視、外觀異常等後遺症。</w:t>
          </w:r>
        </w:sdtContent>
      </w:sdt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Q: 可是病人堅持不想開刀？</w:t>
          </w:r>
        </w:sdtContent>
      </w:sdt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A: 此時可當作unresectable disease進行治療，治療方法以RT +/- concurrent chemotherapy為主，目前沒有high-level evidence指出何者為佳，討論CCRT在ACC角色的文章，個案數皆小於20人。</w:t>
          </w:r>
        </w:sdtContent>
      </w:sdt>
    </w:p>
    <w:p w:rsidR="00000000" w:rsidDel="00000000" w:rsidP="00000000" w:rsidRDefault="00000000" w:rsidRPr="00000000" w14:paraId="00000029">
      <w:pPr>
        <w:ind w:firstLine="480"/>
        <w:rPr>
          <w:rFonts w:ascii="Times New Roman" w:cs="Times New Roman" w:eastAsia="Times New Roman" w:hAnsi="Times New Roman"/>
        </w:rPr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在一篇回顧以放射治療處理唾液腺癌（ACC僅佔約20%）的文章中，當劑量超過66 Gy時，十年局部控制率可達約60%(1)。另一篇韓國的case series則指出cisplatin-based CCRT對ACC的CR rate可達80%，但最常見的治療失敗模式仍為遠端轉移（40%）(2)</w:t>
          </w:r>
        </w:sdtContent>
      </w:sdt>
    </w:p>
    <w:p w:rsidR="00000000" w:rsidDel="00000000" w:rsidP="00000000" w:rsidRDefault="00000000" w:rsidRPr="00000000" w14:paraId="0000002A">
      <w:pPr>
        <w:ind w:firstLine="360"/>
        <w:rPr>
          <w:rFonts w:ascii="Times New Roman" w:cs="Times New Roman" w:eastAsia="Times New Roman" w:hAnsi="Times New Roman"/>
        </w:rPr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簡單來說，由於理論上cisplatin有加強放射治療的效果。如果病人PS很好，雖然沒有明確證據，但還是可以考慮採用CCRT以爭取最大的治癒率（註：最好別說是為了減少遠端轉移所以採用CCRT，因為ACC對傳統化療的效果普遍不佳，因此即便ACC病患發生轉移，林長的腫瘤科醫師也有人偏向等到轉移病灶有症狀再進行化療）</w:t>
          </w:r>
        </w:sdtContent>
      </w:sdt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Q: 有沒有其他的治療方法？</w:t>
          </w:r>
        </w:sdtContent>
      </w:sdt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A: 可以考慮High-LET的RT，過去中子治療的研究中，有看到中子治療可以改善局部控制（但是增加了晚期毒性）。未來說不定可以考慮以重粒子進行治療。如果想得更遠，目前研究中的Proton Arc with LET optimization或許也是一個可行的方向（雖然這樣炫技可以拿到高評價，但高機率會被追問細節，所以沒有把握後面的理論的話請自己斟酌XD）</w:t>
          </w:r>
        </w:sdtContent>
      </w:sdt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Q: RT範圍要包含哪裡？要不要照頸部淋巴結？</w:t>
          </w:r>
        </w:sdtContent>
      </w:sdt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A: 這類問題是張Ｐ常常問住院醫師的經典問題，大家可以明確的知道這問題不太可能有標準答案，就算有在考試當場也不太可能會知道。但標準回應建議由failure pattern下手。</w:t>
          </w:r>
        </w:sdtContent>
      </w:sdt>
    </w:p>
    <w:p w:rsidR="00000000" w:rsidDel="00000000" w:rsidP="00000000" w:rsidRDefault="00000000" w:rsidRPr="00000000" w14:paraId="00000031">
      <w:pPr>
        <w:ind w:firstLine="480"/>
        <w:rPr>
          <w:rFonts w:ascii="Times New Roman" w:cs="Times New Roman" w:eastAsia="Times New Roman" w:hAnsi="Times New Roman"/>
        </w:rPr>
      </w:pPr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在原發腫廇處，一定要包含附近的顱神經，因為ACC很容易沿著神經跑。至於頸部淋巴結，由於ACC主要發生治療失敗的地方會在遠端（肺部），所以不一定要照。但如果真的很擔心，還是可以考慮照射1st echelon nodes，不過要知道轉移機率其實小於10%：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Maxillary sinus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Ipsilateral subdigastric and submandibular nodes are most often involved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Incidence: 17% vs. 4% (SqCC and PD ca. vs. Adeno, ACC, and mucoepidermoid)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Relapse rate 38% vs. 8% (SqCC and PD ca. vs. Adeno, ACC, and mucoepidermoid)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Q: Dose Constraint for RT Planning?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A: 這題的答案和實際的腫瘤位置有關。假設腫瘤緊貼眼睛和視神經， Definitive RT其劑量高機率會讓單側的眼睛及視神經受到不可逆的傷害，所以此時就要和病人說明解釋我們的治療目標是「保留外觀」，單邊的眼睛功能是不太可能保留的，會在幾年內的時間慢慢失明。而最重要的constraint則是保護對側眼睛及視神經。</w:t>
          </w:r>
        </w:sdtContent>
      </w:sdt>
    </w:p>
    <w:p w:rsidR="00000000" w:rsidDel="00000000" w:rsidP="00000000" w:rsidRDefault="00000000" w:rsidRPr="00000000" w14:paraId="00000039">
      <w:pPr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 NRG HN-001 protocol: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Eye (contralateral): Dmax &lt; 55 Gy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Optic apparatus (contralateral): &lt; 54 Gy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Lens - Dmax &lt; 15 Gy (less important)</w:t>
      </w:r>
    </w:p>
    <w:p w:rsidR="00000000" w:rsidDel="00000000" w:rsidP="00000000" w:rsidRDefault="00000000" w:rsidRPr="00000000" w14:paraId="0000003D">
      <w:pPr>
        <w:ind w:firstLine="360"/>
        <w:rPr>
          <w:rFonts w:ascii="Times New Roman" w:cs="Times New Roman" w:eastAsia="Times New Roman" w:hAnsi="Times New Roman"/>
        </w:rPr>
      </w:pPr>
      <w:sdt>
        <w:sdtPr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另外一個很重要但容易被忘記的器官是Lacrimal gland，因為劑量過高的話會導致病人嚴重的乾眼，甚至在未來產生角膜炎並影響到視力。大型研究中較少有關於Lacrimal gland的建議，一篇回溯性的文章中建議可以採用Dmax &lt; 30 Gy作為constraint (3)。若要排順位的話，建議如下：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Contralateral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eye/optic nerve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Brainstem/spinal cord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Tumor coverage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Lacrimal glands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Ipsilateral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eye/optic nerve (no hot spot)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中山 曾顯群 HN</w:t>
          </w:r>
        </w:sdtContent>
      </w:sdt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Q1. Neck level I-V 說明範圍</w:t>
          </w:r>
        </w:sdtContent>
      </w:sdt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sdt>
        <w:sdtPr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雖然大家應該很熟，這應該只是小試身手，不過以下比較嚴謹的節錄幾個大試驗團體的consensus. </w:t>
          </w:r>
        </w:sdtContent>
      </w:sdt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270500" cy="11645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270500" cy="305625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270500" cy="105854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Q2. 說明NPC stage 7-8th 改變</w:t>
          </w:r>
        </w:sdtContent>
      </w:sdt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sdt>
        <w:sdtPr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最重要的幾個改變如下：</w:t>
          </w:r>
        </w:sdtContent>
      </w:sdt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(1) for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T-classification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patients with infratemporal fossa/masticator space involvement, which was considered in the T4 category in the 7th edition, has been replaced with a precise definition;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medial pterygoid (MP)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lateral pterygoid (LP) muscles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been downgraded to the T2 category, whereas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prevertebral muscles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been included in the T2 category;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(3) For the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N-classification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supraclavicular fossa (SCF) has been replaced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caudal border of the cricoid cartilage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N3a and N3b in the 7th edition have been reclassified to N3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(4) T4 and N3 have been merged into IVA;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(5) For the clinical stage,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stages IVA and IVB in the 7th edition have been redefined as 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stage IVC has been reclassified as IVB in the 8th edition.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sdt>
        <w:sdtPr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第七版與第八版的比較如下：</w:t>
          </w:r>
        </w:sdtContent>
      </w:sdt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0500" cy="519811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9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Q3. NPC T1N0M0 怎麼治療,範圍劑量</w:t>
          </w:r>
        </w:sdtContent>
      </w:sdt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sdt>
        <w:sdtPr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NCCN Guideline目前仍建議以RT alone進行治療，放射治療的劑量及範圍依目前的證據來說，和其他期別的NPC相同，目前並沒有很好的證據提供降劑量或者縮小治療範圍的選擇。</w:t>
          </w:r>
        </w:sdtContent>
      </w:sdt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Q4. NPC 什麼時候會做level I</w:t>
          </w:r>
        </w:sdtContent>
      </w:sdt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sdt>
        <w:sdtPr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下圖來自Perez，我們可以看到其實Level I轉移的機會相對不高，雖然圖的註釋不知道在寫些什麼，總之這是收錄了202個病人做MRI的clinical stage，並不是真的切下來的結果[5]。雖然也有Meta-analysis顯示Ib受到影響的機會約為2.7% [6]，不過畢竟課本是列下面這張圖，依照這個回答或許比較保險。</w:t>
          </w:r>
        </w:sdtContent>
      </w:sdt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2849448" cy="344028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448" cy="344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sdt>
        <w:sdtPr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因此課本中的建議如下：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Bilateral IB lymph nodes can be spared if patient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node-negative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of level IB should be considered in node-negative patients with extensive involvement of the hard palate, nasal cavity, or maxillary antrum.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discretion of the treating radiation oncologist, level IB may also be spared or limited to the anterior border of the submandibular gland in low-risk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node-positive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patients.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Patients presenting with isolated retropharyngeal nodes or isolated level IV nodes are considered low risk for level IB involvement.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sdt>
        <w:sdtPr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簡單來說，課本認為除了超低風險的病人外（node-negative OR node-positive with isolated RP/level IV），都應該考慮進行Ib的照射。就算是node-negative，如果原發腫瘤侵犯可能引流到Ib的區域，如hard palate, nasal cavity, or maxillary antrum等位置，也應該考慮level Ib的照射。</w:t>
          </w:r>
        </w:sdtContent>
      </w:sdt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sdt>
        <w:sdtPr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[中榮經驗補充] </w:t>
          </w:r>
        </w:sdtContent>
      </w:sdt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中榮大部分病患不會照射level I LN，一方面該區域NPC轉移機率不會這麼高，且可以減少parotid gland劑量，除非很明顯cN+，才會考慮照射level I。</w:t>
          </w:r>
        </w:sdtContent>
      </w:sdt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</w:rPr>
      </w:pPr>
      <w:sdt>
        <w:sdtPr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Q5. 有沒有看過late complication</w:t>
          </w:r>
        </w:sdtContent>
      </w:sdt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sdt>
        <w:sdtPr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有（很想只回答一個字，但應該不能這麼混），我猜這題應該是聊天時間…嗎？總之課本相關的描述如下，提供給大家回憶自己看過的病人：</w:t>
          </w:r>
        </w:sdtContent>
      </w:sdt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overall complication rate from conventional treatment ranged from 31% to 66%, with severe sequelae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temporal lobe necrosis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hearing loss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xerostomia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neck fibrosis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cranial nerve dysfunction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endocrine dysfunction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 tissue necrosis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osteonecrosis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transverse radiation myelitis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Chen, Allen M., et al. "Long-term outcome of patients treated by radiation therapy alone for salivary gland carcinomas." International Journal of Radiation Oncology* Biology* Physics 66.4 (2006): 1044-1050.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Ha, Hyerim, et al. "Role of concurrent chemoradiation on locally advanced unresectable adenoid cystic carcinoma." The Korean journal of internal medicine 36.1 (2021): 175.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Batth, S. S., et al. "Clinical-dosimetric relationship between lacrimal gland dose and ocular toxicity after intensity-modulated radiotherapy for sinonasal tumours." The British journal of radiology 86.1032 (2013): 20130459.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Grégoire, Vincent, et al. "Delineation of the neck node levels for head and neck tumors: a 2013 update. DAHANCA, EORTC, HKNPCSG, NCIC CTG, NCRI, RTOG, TROG consensus guidelines." Radiotherapy and Oncology 110.1 (2014): 172-181.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Ng, Wai T., et al. "N-staging by magnetic resonance imaging for patients with nasopharyngeal carcinoma: pattern of nodal involvement by radiological levels." Radiotherapy and Oncology 82.1 (2007): 70-75.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Ho, Francis CH, et al. "Patterns of regional lymph node metastasis of nasopharyngeal carcinoma: a meta-analysis of clinical evidence." BMC cancer 12.1 (2012): 1-13.</w:t>
      </w:r>
    </w:p>
    <w:sectPr>
      <w:pgSz w:h="16840" w:w="11900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、"/>
      <w:lvlJc w:val="left"/>
      <w:pPr>
        <w:ind w:left="1320" w:hanging="480"/>
      </w:pPr>
      <w:rPr/>
    </w:lvl>
    <w:lvl w:ilvl="2">
      <w:start w:val="1"/>
      <w:numFmt w:val="lowerRoman"/>
      <w:lvlText w:val="%3."/>
      <w:lvlJc w:val="right"/>
      <w:pPr>
        <w:ind w:left="1800" w:hanging="480"/>
      </w:pPr>
      <w:rPr/>
    </w:lvl>
    <w:lvl w:ilvl="3">
      <w:start w:val="1"/>
      <w:numFmt w:val="decimal"/>
      <w:lvlText w:val="%4."/>
      <w:lvlJc w:val="left"/>
      <w:pPr>
        <w:ind w:left="2280" w:hanging="480"/>
      </w:pPr>
      <w:rPr/>
    </w:lvl>
    <w:lvl w:ilvl="4">
      <w:start w:val="1"/>
      <w:numFmt w:val="decimal"/>
      <w:lvlText w:val="%5、"/>
      <w:lvlJc w:val="left"/>
      <w:pPr>
        <w:ind w:left="2760" w:hanging="480"/>
      </w:pPr>
      <w:rPr/>
    </w:lvl>
    <w:lvl w:ilvl="5">
      <w:start w:val="1"/>
      <w:numFmt w:val="lowerRoman"/>
      <w:lvlText w:val="%6."/>
      <w:lvlJc w:val="right"/>
      <w:pPr>
        <w:ind w:left="3240" w:hanging="480"/>
      </w:pPr>
      <w:rPr/>
    </w:lvl>
    <w:lvl w:ilvl="6">
      <w:start w:val="1"/>
      <w:numFmt w:val="decimal"/>
      <w:lvlText w:val="%7."/>
      <w:lvlJc w:val="left"/>
      <w:pPr>
        <w:ind w:left="3720" w:hanging="480"/>
      </w:pPr>
      <w:rPr/>
    </w:lvl>
    <w:lvl w:ilvl="7">
      <w:start w:val="1"/>
      <w:numFmt w:val="decimal"/>
      <w:lvlText w:val="%8、"/>
      <w:lvlJc w:val="left"/>
      <w:pPr>
        <w:ind w:left="4200" w:hanging="480"/>
      </w:pPr>
      <w:rPr/>
    </w:lvl>
    <w:lvl w:ilvl="8">
      <w:start w:val="1"/>
      <w:numFmt w:val="lowerRoman"/>
      <w:lvlText w:val="%9."/>
      <w:lvlJc w:val="right"/>
      <w:pPr>
        <w:ind w:left="46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、"/>
      <w:lvlJc w:val="left"/>
      <w:pPr>
        <w:ind w:left="1320" w:hanging="480"/>
      </w:pPr>
      <w:rPr/>
    </w:lvl>
    <w:lvl w:ilvl="2">
      <w:start w:val="1"/>
      <w:numFmt w:val="lowerRoman"/>
      <w:lvlText w:val="%3."/>
      <w:lvlJc w:val="right"/>
      <w:pPr>
        <w:ind w:left="1800" w:hanging="480"/>
      </w:pPr>
      <w:rPr/>
    </w:lvl>
    <w:lvl w:ilvl="3">
      <w:start w:val="1"/>
      <w:numFmt w:val="decimal"/>
      <w:lvlText w:val="%4."/>
      <w:lvlJc w:val="left"/>
      <w:pPr>
        <w:ind w:left="2280" w:hanging="480"/>
      </w:pPr>
      <w:rPr/>
    </w:lvl>
    <w:lvl w:ilvl="4">
      <w:start w:val="1"/>
      <w:numFmt w:val="decimal"/>
      <w:lvlText w:val="%5、"/>
      <w:lvlJc w:val="left"/>
      <w:pPr>
        <w:ind w:left="2760" w:hanging="480"/>
      </w:pPr>
      <w:rPr/>
    </w:lvl>
    <w:lvl w:ilvl="5">
      <w:start w:val="1"/>
      <w:numFmt w:val="lowerRoman"/>
      <w:lvlText w:val="%6."/>
      <w:lvlJc w:val="right"/>
      <w:pPr>
        <w:ind w:left="3240" w:hanging="480"/>
      </w:pPr>
      <w:rPr/>
    </w:lvl>
    <w:lvl w:ilvl="6">
      <w:start w:val="1"/>
      <w:numFmt w:val="decimal"/>
      <w:lvlText w:val="%7."/>
      <w:lvlJc w:val="left"/>
      <w:pPr>
        <w:ind w:left="3720" w:hanging="480"/>
      </w:pPr>
      <w:rPr/>
    </w:lvl>
    <w:lvl w:ilvl="7">
      <w:start w:val="1"/>
      <w:numFmt w:val="decimal"/>
      <w:lvlText w:val="%8、"/>
      <w:lvlJc w:val="left"/>
      <w:pPr>
        <w:ind w:left="4200" w:hanging="480"/>
      </w:pPr>
      <w:rPr/>
    </w:lvl>
    <w:lvl w:ilvl="8">
      <w:start w:val="1"/>
      <w:numFmt w:val="lowerRoman"/>
      <w:lvlText w:val="%9."/>
      <w:lvlJc w:val="right"/>
      <w:pPr>
        <w:ind w:left="4680" w:hanging="480"/>
      </w:pPr>
      <w:rPr/>
    </w:lvl>
  </w:abstractNum>
  <w:abstractNum w:abstractNumId="3">
    <w:lvl w:ilvl="0">
      <w:start w:val="2019"/>
      <w:numFmt w:val="bullet"/>
      <w:lvlText w:val="-"/>
      <w:lvlJc w:val="left"/>
      <w:pPr>
        <w:ind w:left="480" w:hanging="360"/>
      </w:pPr>
      <w:rPr>
        <w:rFonts w:ascii="Calibri" w:cs="Calibri" w:eastAsia="Calibri" w:hAnsi="Calibri"/>
      </w:rPr>
    </w:lvl>
    <w:lvl w:ilvl="1">
      <w:start w:val="1"/>
      <w:numFmt w:val="bullet"/>
      <w:lvlText w:val="■"/>
      <w:lvlJc w:val="left"/>
      <w:pPr>
        <w:ind w:left="108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56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4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52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0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48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4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840" w:hanging="36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D08A0"/>
    <w:pPr>
      <w:ind w:left="480" w:leftChars="200"/>
    </w:pPr>
  </w:style>
  <w:style w:type="table" w:styleId="21" w:customStyle="1">
    <w:name w:val="无格式表格 21"/>
    <w:basedOn w:val="a1"/>
    <w:uiPriority w:val="42"/>
    <w:rsid w:val="00CB492D"/>
    <w:rPr>
      <w:kern w:val="0"/>
      <w:sz w:val="20"/>
      <w:szCs w:val="20"/>
      <w:lang w:eastAsia="zh-CN"/>
    </w:rPr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H7mB9juSYIqzYHKLiNaqIjsohA==">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2021-09-06T15:33:00Z</dcterms:created>
  <dc:creator>CGMH</dc:creator>
</cp:coreProperties>
</file>