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/>
          <w:b/>
          <w:color w:val="1B3A5C"/>
          <w:sz w:val="64"/>
        </w:rPr>
        <w:t>MarketSounding</w:t>
      </w:r>
    </w:p>
    <w:p>
      <w:pPr>
        <w:spacing w:after="560"/>
        <w:jc w:val="center"/>
      </w:pPr>
      <w:r>
        <w:rPr>
          <w:rFonts w:ascii="Calibri" w:hAnsi="Calibri"/>
          <w:i/>
          <w:color w:val="555555"/>
          <w:sz w:val="28"/>
        </w:rPr>
        <w:t>AI-Powered Primary Dealer Reaction Simulator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22"/>
        </w:rPr>
        <w:t xml:space="preserve">Competition:  </w:t>
      </w:r>
      <w:r>
        <w:rPr>
          <w:rFonts w:ascii="Calibri" w:hAnsi="Calibri"/>
          <w:sz w:val="22"/>
        </w:rPr>
        <w:t>NY Crunch-a-thon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22"/>
        </w:rPr>
        <w:t xml:space="preserve">Host:  </w:t>
      </w:r>
      <w:r>
        <w:rPr>
          <w:rFonts w:ascii="Calibri" w:hAnsi="Calibri"/>
          <w:sz w:val="22"/>
        </w:rPr>
        <w:t>Federal Reserve Bank of New York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22"/>
        </w:rPr>
        <w:t xml:space="preserve">Team Members:  </w:t>
      </w:r>
      <w:r>
        <w:rPr>
          <w:rFonts w:ascii="Calibri" w:hAnsi="Calibri"/>
          <w:sz w:val="22"/>
        </w:rPr>
        <w:t>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22"/>
        </w:rPr>
        <w:t xml:space="preserve">Date:  </w:t>
      </w:r>
      <w:r>
        <w:rPr>
          <w:rFonts w:ascii="Calibri" w:hAnsi="Calibri"/>
          <w:sz w:val="22"/>
        </w:rPr>
        <w:t>May 2026</w:t>
      </w:r>
    </w:p>
    <w:p>
      <w:r>
        <w:br w:type="page"/>
      </w:r>
    </w:p>
    <w:p>
      <w:pPr>
        <w:spacing w:before="280" w:after="120"/>
        <w:pBdr>
          <w:left w:val="single" w:sz="24" w:space="10" w:color="1B3A5C"/>
        </w:pBdr>
      </w:pPr>
      <w:r>
        <w:rPr>
          <w:rFonts w:ascii="Calibri" w:hAnsi="Calibri"/>
          <w:b/>
          <w:color w:val="1B3A5C"/>
          <w:sz w:val="26"/>
        </w:rPr>
        <w:t>1.  Project Idea and the Bank Problem It Addresses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The Core Idea</w:t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MarketSounding</w:t>
      </w:r>
      <w:r>
        <w:rPr>
          <w:rFonts w:ascii="Calibri" w:hAnsi="Calibri"/>
          <w:sz w:val="22"/>
        </w:rPr>
        <w:t xml:space="preserve"> is a multi-agent AI simulation platform that models how the five major US Treasury primary dealers — Goldman Sachs, JP Morgan, Morgan Stanley, Citigroup, and Bank of America — would react to a macroeconomic event before it occurs (or immediately after). A user enters a market topic (e.g., "FOMC 50bp rate cut" or "US-China tariff escalation"), and the system produces a structured, multi-round debate between five AI dealer agents, each reasoning strictly within their institution's documented analytical framework.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The Bank Problem</w:t>
      </w:r>
    </w:p>
    <w:p>
      <w:pPr>
        <w:spacing w:after="120"/>
      </w:pPr>
      <w:r>
        <w:rPr>
          <w:rFonts w:ascii="Calibri" w:hAnsi="Calibri"/>
          <w:sz w:val="22"/>
        </w:rPr>
        <w:t xml:space="preserve">The Federal Reserve Bank of New York conducts </w:t>
      </w:r>
      <w:r>
        <w:rPr>
          <w:rFonts w:ascii="Calibri" w:hAnsi="Calibri"/>
          <w:b/>
          <w:color w:val="1B3A5C"/>
          <w:sz w:val="22"/>
        </w:rPr>
        <w:t>market soundings</w:t>
      </w:r>
      <w:r>
        <w:rPr>
          <w:rFonts w:ascii="Calibri" w:hAnsi="Calibri"/>
          <w:sz w:val="22"/>
        </w:rPr>
        <w:t xml:space="preserve"> — structured conversations with primary dealers to gauge market sentiment before policy announcements or debt issuance operations. Today this process is: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Manual and time-intensive:</w:t>
      </w:r>
      <w:r>
        <w:rPr>
          <w:rFonts w:ascii="Calibri" w:hAnsi="Calibri"/>
          <w:sz w:val="22"/>
        </w:rPr>
        <w:t xml:space="preserve"> Analysts must individually reach primary dealers, compile responses, and synthesize a consensus view — a process that takes days.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Reactive rather than prospective:</w:t>
      </w:r>
      <w:r>
        <w:rPr>
          <w:rFonts w:ascii="Calibri" w:hAnsi="Calibri"/>
          <w:sz w:val="22"/>
        </w:rPr>
        <w:t xml:space="preserve"> Soundings happen after decisions are partially formed, not as a real-time "what-if" tool for scenario planning.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Subject to social dynamics:</w:t>
      </w:r>
      <w:r>
        <w:rPr>
          <w:rFonts w:ascii="Calibri" w:hAnsi="Calibri"/>
          <w:sz w:val="22"/>
        </w:rPr>
        <w:t xml:space="preserve"> Dealers may not fully disclose divergent views in live conversations; anonymized AI simulation avoids this anchoring bias.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Opaque in terms of reasoning:</w:t>
      </w:r>
      <w:r>
        <w:rPr>
          <w:rFonts w:ascii="Calibri" w:hAnsi="Calibri"/>
          <w:sz w:val="22"/>
        </w:rPr>
        <w:t xml:space="preserve"> A sounding produces a directional signal but rarely captures the *why* behind each dealer's stance in a structured, comparable format.</w:t>
      </w:r>
    </w:p>
    <w:p>
      <w:pPr>
        <w:spacing w:after="120"/>
      </w:pPr>
      <w:r>
        <w:rPr>
          <w:rFonts w:ascii="Calibri" w:hAnsi="Calibri"/>
          <w:sz w:val="22"/>
        </w:rPr>
        <w:t>MarketSounding addresses all four gaps: it produces structured dealer reactions in minutes, supports unlimited prospective scenario runs, removes social anchoring, and exposes each dealer's full reasoning chain — including hawkish/dovish score, rate path view, balance sheet opinion, risk asset outlook, and key concerns — in a machine-readable format.</w:t>
      </w:r>
    </w:p>
    <w:p>
      <w:pPr>
        <w:spacing w:before="200" w:after="200"/>
        <w:pBdr>
          <w:bottom w:val="single" w:sz="6" w:space="1" w:color="CCD6E0"/>
        </w:pBdr>
      </w:pPr>
    </w:p>
    <w:p>
      <w:pPr>
        <w:spacing w:before="280" w:after="120"/>
        <w:pBdr>
          <w:left w:val="single" w:sz="24" w:space="10" w:color="1B3A5C"/>
        </w:pBdr>
      </w:pPr>
      <w:r>
        <w:rPr>
          <w:rFonts w:ascii="Calibri" w:hAnsi="Calibri"/>
          <w:b/>
          <w:color w:val="1B3A5C"/>
          <w:sz w:val="26"/>
        </w:rPr>
        <w:t>2.  How This Transforms the Bank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New Capability: Instant Scenario Intelligence</w:t>
      </w:r>
    </w:p>
    <w:p>
      <w:pPr>
        <w:spacing w:after="120"/>
      </w:pPr>
      <w:r>
        <w:rPr>
          <w:rFonts w:ascii="Calibri" w:hAnsi="Calibri"/>
          <w:sz w:val="22"/>
        </w:rPr>
        <w:t>Before a policy decision or a major debt auction, FRBNY analysts can run a MarketSounding simulation in under five minutes and receive structured, institution-specific dealer reactions — complete with hawkish/dovish scores, position trajectories, and a consensus metric — for any hypothetical scenario. This transforms market sounding from a days-long manual process into an on-demand analytical capability.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Enhanced Capability: Crisis Simulation</w:t>
      </w:r>
    </w:p>
    <w:p>
      <w:pPr>
        <w:spacing w:after="120"/>
      </w:pPr>
      <w:r>
        <w:rPr>
          <w:rFonts w:ascii="Calibri" w:hAnsi="Calibri"/>
          <w:sz w:val="22"/>
        </w:rPr>
        <w:t xml:space="preserve">The platform's </w:t>
      </w:r>
      <w:r>
        <w:rPr>
          <w:rFonts w:ascii="Calibri" w:hAnsi="Calibri"/>
          <w:b/>
          <w:color w:val="1B3A5C"/>
          <w:sz w:val="22"/>
        </w:rPr>
        <w:t>Crisis Injection</w:t>
      </w:r>
      <w:r>
        <w:rPr>
          <w:rFonts w:ascii="Calibri" w:hAnsi="Calibri"/>
          <w:sz w:val="22"/>
        </w:rPr>
        <w:t xml:space="preserve"> feature lets analysts introduce a surprise shock mid-simulation (e.g., "China announces a surprise 200bp rate cut") and observe how dealer positions re-calibrate. This enables the FRBNY to stress-test market resilience against tail-risk scenarios before they materialize — something impossible with traditional soundings.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Efficiency: From Days to Minutes</w:t>
      </w:r>
    </w:p>
    <w:p>
      <w:pPr>
        <w:spacing w:after="120"/>
      </w:pPr>
      <w:r>
        <w:rPr>
          <w:rFonts w:ascii="Calibri" w:hAnsi="Calibri"/>
          <w:sz w:val="22"/>
        </w:rPr>
        <w:t>A full five-dealer, five-round simulation completes in 3–7 minutes. The same breadth of insight from a traditional sounding would require scheduling, conducting, and synthesizing responses from five institutions — a process measured in days, not minutes.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Analytical Depth: Knowledge Graph and Consensus Metrics</w:t>
      </w:r>
    </w:p>
    <w:p>
      <w:pPr>
        <w:spacing w:after="120"/>
      </w:pPr>
      <w:r>
        <w:rPr>
          <w:rFonts w:ascii="Calibri" w:hAnsi="Calibri"/>
          <w:sz w:val="22"/>
        </w:rPr>
        <w:t xml:space="preserve">Every simulation contributes to a live </w:t>
      </w:r>
      <w:r>
        <w:rPr>
          <w:rFonts w:ascii="Calibri" w:hAnsi="Calibri"/>
          <w:b/>
          <w:color w:val="1B3A5C"/>
          <w:sz w:val="22"/>
        </w:rPr>
        <w:t>Knowledge Graph</w:t>
      </w:r>
      <w:r>
        <w:rPr>
          <w:rFonts w:ascii="Calibri" w:hAnsi="Calibri"/>
          <w:sz w:val="22"/>
        </w:rPr>
        <w:t xml:space="preserve"> that maps relationships between market topics, dealer concerns, and inter-dealer influence. Over time this graph reveals structural patterns: which concerns cluster together across events, which dealers consistently move others, and which topics create the most dealer divergence — providing a running picture of primary dealer market intelligence that no manual process can produce.</w:t>
      </w:r>
    </w:p>
    <w:p>
      <w:pPr>
        <w:spacing w:before="200" w:after="200"/>
        <w:pBdr>
          <w:bottom w:val="single" w:sz="6" w:space="1" w:color="CCD6E0"/>
        </w:pBdr>
      </w:pPr>
    </w:p>
    <w:p>
      <w:pPr>
        <w:spacing w:before="280" w:after="120"/>
        <w:pBdr>
          <w:left w:val="single" w:sz="24" w:space="10" w:color="1B3A5C"/>
        </w:pBdr>
      </w:pPr>
      <w:r>
        <w:rPr>
          <w:rFonts w:ascii="Calibri" w:hAnsi="Calibri"/>
          <w:b/>
          <w:color w:val="1B3A5C"/>
          <w:sz w:val="26"/>
        </w:rPr>
        <w:t>3.  API and Data Set Choices; Pre- and Post-Processing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AWS Bedrock / Claude (Sonnet 4.6 and Haiku 4.5)</w:t>
      </w:r>
    </w:p>
    <w:p>
      <w:pPr>
        <w:spacing w:after="120"/>
      </w:pPr>
      <w:r>
        <w:rPr>
          <w:rFonts w:ascii="Calibri" w:hAnsi="Calibri"/>
          <w:sz w:val="22"/>
        </w:rPr>
        <w:t>We chose AWS Bedrock as our AI inference layer for three reasons: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Compliance posture:</w:t>
      </w:r>
      <w:r>
        <w:rPr>
          <w:rFonts w:ascii="Calibri" w:hAnsi="Calibri"/>
          <w:sz w:val="22"/>
        </w:rPr>
        <w:t xml:space="preserve"> Bedrock keeps data within AWS infrastructure and provides enterprise-grade data isolation — critical for a Federal Reserve context where proprietary market intelligence must not leak to third-party model providers.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Model stratification:</w:t>
      </w:r>
      <w:r>
        <w:rPr>
          <w:rFonts w:ascii="Calibri" w:hAnsi="Calibri"/>
          <w:sz w:val="22"/>
        </w:rPr>
        <w:t xml:space="preserve"> Bedrock exposes both Claude Sonnet 4.6 (high reasoning capacity) and Haiku 4.5 (low-latency, low-cost) through the same API surface, allowing us to right-size the model for each component.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Cross-region inference profiles:</w:t>
      </w:r>
      <w:r>
        <w:rPr>
          <w:rFonts w:ascii="Calibri" w:hAnsi="Calibri"/>
          <w:sz w:val="22"/>
        </w:rPr>
        <w:t xml:space="preserve"> We use Bedrock's cross-region inference to maximize throughput during the burst load of running five dealer agents in parallel.</w:t>
      </w:r>
    </w:p>
    <w:p>
      <w:pPr>
        <w:spacing w:after="120"/>
      </w:pPr>
      <w:r>
        <w:rPr>
          <w:rFonts w:ascii="Calibri" w:hAnsi="Calibri"/>
          <w:sz w:val="22"/>
        </w:rPr>
        <w:t>We deliberately chose Claude over GPT-4 or Gemini because Claude's instruction-following fidelity is superior for structured JSON output — our dealer agents must return a precise 11-field JSON schema every invocation. Claude's lower hallucination rate on structured outputs reduced retry rates significantly.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Tavily Search API</w:t>
      </w:r>
    </w:p>
    <w:p>
      <w:pPr>
        <w:spacing w:after="120"/>
      </w:pPr>
      <w:r>
        <w:rPr>
          <w:rFonts w:ascii="Calibri" w:hAnsi="Calibri"/>
          <w:sz w:val="22"/>
        </w:rPr>
        <w:t>For live market event research we use the Tavily Search API, optimized for agentic research workflows. Compared to the Google Custom Search API or Bing Search API: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Tavily returns full article snippets (not just URLs), allowing synthesis without additional page fetches.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It supports recency filtering (day / week / month), so the system can surface breaking news vs. historical context as the user requires.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Its relevance scoring allows us to dedup and rank results before sending them to the synthesis model.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Pre-Processing of Data</w:t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Query Expansion:</w:t>
      </w:r>
      <w:r>
        <w:rPr>
          <w:rFonts w:ascii="Calibri" w:hAnsi="Calibri"/>
          <w:sz w:val="22"/>
        </w:rPr>
        <w:t xml:space="preserve"> Rather than sending a user's raw topic to Tavily, we first pass it to Claude Haiku to generate 2–3 semantically distinct search queries. This prevents over-literal results.</w:t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Deduplication and Recency Filtering:</w:t>
      </w:r>
      <w:r>
        <w:rPr>
          <w:rFonts w:ascii="Calibri" w:hAnsi="Calibri"/>
          <w:sz w:val="22"/>
        </w:rPr>
        <w:t xml:space="preserve"> Tavily results are deduplicated by URL, sorted by relevance score, and filtered by a configurable recency window before being passed to synthesis.</w:t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Event Brief Synthesis:</w:t>
      </w:r>
      <w:r>
        <w:rPr>
          <w:rFonts w:ascii="Calibri" w:hAnsi="Calibri"/>
          <w:sz w:val="22"/>
        </w:rPr>
        <w:t xml:space="preserve"> Raw web snippets are synthesized by Claude Sonnet 4.6 into a structured event brief with three fields: </w:t>
      </w:r>
      <w:r>
        <w:rPr>
          <w:rFonts w:ascii="Consolas" w:hAnsi="Consolas"/>
          <w:sz w:val="19"/>
        </w:rPr>
        <w:t>title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19"/>
        </w:rPr>
        <w:t>summary</w:t>
      </w:r>
      <w:r>
        <w:rPr>
          <w:rFonts w:ascii="Calibri" w:hAnsi="Calibri"/>
          <w:sz w:val="22"/>
        </w:rPr>
        <w:t xml:space="preserve">, and </w:t>
      </w:r>
      <w:r>
        <w:rPr>
          <w:rFonts w:ascii="Consolas" w:hAnsi="Consolas"/>
          <w:sz w:val="19"/>
        </w:rPr>
        <w:t>rawText</w:t>
      </w:r>
      <w:r>
        <w:rPr>
          <w:rFonts w:ascii="Calibri" w:hAnsi="Calibri"/>
          <w:sz w:val="22"/>
        </w:rPr>
        <w:t>. This normalization step ensures every dealer agent receives identically structured input regardless of source diversity.</w:t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Event Text Truncation:</w:t>
      </w:r>
      <w:r>
        <w:rPr>
          <w:rFonts w:ascii="Calibri" w:hAnsi="Calibri"/>
          <w:sz w:val="22"/>
        </w:rPr>
        <w:t xml:space="preserve"> The </w:t>
      </w:r>
      <w:r>
        <w:rPr>
          <w:rFonts w:ascii="Consolas" w:hAnsi="Consolas"/>
          <w:sz w:val="19"/>
        </w:rPr>
        <w:t>rawText</w:t>
      </w:r>
      <w:r>
        <w:rPr>
          <w:rFonts w:ascii="Calibri" w:hAnsi="Calibri"/>
          <w:sz w:val="22"/>
        </w:rPr>
        <w:t xml:space="preserve"> field is capped at 12,000 characters before injection into dealer prompts, preventing context window overflow while preserving the most material content.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Post-Processing of Data</w:t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Reaction Parsing and Validation:</w:t>
      </w:r>
      <w:r>
        <w:rPr>
          <w:rFonts w:ascii="Calibri" w:hAnsi="Calibri"/>
          <w:sz w:val="22"/>
        </w:rPr>
        <w:t xml:space="preserve"> Each dealer LLM response is validated against an 11-field JSON schema. Fields outside expected ranges are clamped. If the LLM returns malformed JSON, a single retry is issued with the parse error in context — recovering approximately 80% of malformed responses.</w:t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Trajectory Computation:</w:t>
      </w:r>
      <w:r>
        <w:rPr>
          <w:rFonts w:ascii="Calibri" w:hAnsi="Calibri"/>
          <w:sz w:val="22"/>
        </w:rPr>
        <w:t xml:space="preserve"> After each simulation completes, we compute a trajectory vector — the average H/D score across all five dealers for each round — which produces a time-series showing whether dealer consensus converged, diverged, or reversed under debate.</w:t>
      </w:r>
    </w:p>
    <w:p>
      <w:pPr>
        <w:spacing w:after="12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Consensus Score:</w:t>
      </w:r>
      <w:r>
        <w:rPr>
          <w:rFonts w:ascii="Calibri" w:hAnsi="Calibri"/>
          <w:sz w:val="22"/>
        </w:rPr>
        <w:t xml:space="preserve"> A normalized consensus metric (0–1) is computed from the standard deviation of final-round H/D scores. A score near 1 means strong dealer alignment; near 0 means maximum divergence.</w:t>
      </w:r>
    </w:p>
    <w:p>
      <w:pPr>
        <w:spacing w:before="200" w:after="200"/>
        <w:pBdr>
          <w:bottom w:val="single" w:sz="6" w:space="1" w:color="CCD6E0"/>
        </w:pBdr>
      </w:pPr>
    </w:p>
    <w:p>
      <w:pPr>
        <w:spacing w:before="280" w:after="120"/>
        <w:pBdr>
          <w:left w:val="single" w:sz="24" w:space="10" w:color="1B3A5C"/>
        </w:pBdr>
      </w:pPr>
      <w:r>
        <w:rPr>
          <w:rFonts w:ascii="Calibri" w:hAnsi="Calibri"/>
          <w:b/>
          <w:color w:val="1B3A5C"/>
          <w:sz w:val="26"/>
        </w:rPr>
        <w:t>4.  Technical Design and Reasoning Behind Design Decisions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System Architecture Overview</w:t>
      </w:r>
    </w:p>
    <w:p>
      <w:pPr>
        <w:spacing w:after="120"/>
      </w:pPr>
      <w:r>
        <w:rPr>
          <w:rFonts w:ascii="Calibri" w:hAnsi="Calibri"/>
          <w:sz w:val="22"/>
        </w:rPr>
        <w:t xml:space="preserve">The system is structured as three cooperating layers: a </w:t>
      </w:r>
      <w:r>
        <w:rPr>
          <w:rFonts w:ascii="Calibri" w:hAnsi="Calibri"/>
          <w:b/>
          <w:color w:val="1B3A5C"/>
          <w:sz w:val="22"/>
        </w:rPr>
        <w:t>Next.js 16 frontend</w:t>
      </w:r>
      <w:r>
        <w:rPr>
          <w:rFonts w:ascii="Calibri" w:hAnsi="Calibri"/>
          <w:sz w:val="22"/>
        </w:rPr>
        <w:t xml:space="preserve"> (React, Tailwind CSS 4) communicating via REST to an </w:t>
      </w:r>
      <w:r>
        <w:rPr>
          <w:rFonts w:ascii="Calibri" w:hAnsi="Calibri"/>
          <w:b/>
          <w:color w:val="1B3A5C"/>
          <w:sz w:val="22"/>
        </w:rPr>
        <w:t>Express orchestrator</w:t>
      </w:r>
      <w:r>
        <w:rPr>
          <w:rFonts w:ascii="Calibri" w:hAnsi="Calibri"/>
          <w:sz w:val="22"/>
        </w:rPr>
        <w:t xml:space="preserve"> (local dev) or </w:t>
      </w:r>
      <w:r>
        <w:rPr>
          <w:rFonts w:ascii="Calibri" w:hAnsi="Calibri"/>
          <w:b/>
          <w:color w:val="1B3A5C"/>
          <w:sz w:val="22"/>
        </w:rPr>
        <w:t>AWS API Gateway + Lambda</w:t>
      </w:r>
      <w:r>
        <w:rPr>
          <w:rFonts w:ascii="Calibri" w:hAnsi="Calibri"/>
          <w:sz w:val="22"/>
        </w:rPr>
        <w:t xml:space="preserve"> (production), which in turn coordinates a </w:t>
      </w:r>
      <w:r>
        <w:rPr>
          <w:rFonts w:ascii="Calibri" w:hAnsi="Calibri"/>
          <w:b/>
          <w:color w:val="1B3A5C"/>
          <w:sz w:val="22"/>
        </w:rPr>
        <w:t>Research Pipeline</w:t>
      </w:r>
      <w:r>
        <w:rPr>
          <w:rFonts w:ascii="Calibri" w:hAnsi="Calibri"/>
          <w:sz w:val="22"/>
        </w:rPr>
        <w:t xml:space="preserve"> and a </w:t>
      </w:r>
      <w:r>
        <w:rPr>
          <w:rFonts w:ascii="Calibri" w:hAnsi="Calibri"/>
          <w:b/>
          <w:color w:val="1B3A5C"/>
          <w:sz w:val="22"/>
        </w:rPr>
        <w:t>Simulation Orchestrator</w:t>
      </w:r>
      <w:r>
        <w:rPr>
          <w:rFonts w:ascii="Calibri" w:hAnsi="Calibri"/>
          <w:sz w:val="22"/>
        </w:rPr>
        <w:t xml:space="preserve"> backed by AWS Bedrock.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Multi-Agent Debate Architecture</w:t>
      </w:r>
    </w:p>
    <w:p>
      <w:pPr>
        <w:spacing w:after="120"/>
      </w:pPr>
      <w:r>
        <w:rPr>
          <w:rFonts w:ascii="Calibri" w:hAnsi="Calibri"/>
          <w:sz w:val="22"/>
        </w:rPr>
        <w:t xml:space="preserve">Each simulation round runs all five dealer agents </w:t>
      </w:r>
      <w:r>
        <w:rPr>
          <w:rFonts w:ascii="Calibri" w:hAnsi="Calibri"/>
          <w:b/>
          <w:color w:val="1B3A5C"/>
          <w:sz w:val="22"/>
        </w:rPr>
        <w:t>in parallel</w:t>
      </w:r>
      <w:r>
        <w:rPr>
          <w:rFonts w:ascii="Calibri" w:hAnsi="Calibri"/>
          <w:sz w:val="22"/>
        </w:rPr>
        <w:t xml:space="preserve"> using </w:t>
      </w:r>
      <w:r>
        <w:rPr>
          <w:rFonts w:ascii="Consolas" w:hAnsi="Consolas"/>
          <w:sz w:val="19"/>
        </w:rPr>
        <w:t>Promise.all()</w:t>
      </w:r>
      <w:r>
        <w:rPr>
          <w:rFonts w:ascii="Calibri" w:hAnsi="Calibri"/>
          <w:sz w:val="22"/>
        </w:rPr>
        <w:t>. Within a round, dealers have no awareness of each other. Between rounds, each dealer receives a curated peer context — not full LLM outputs, but a structured summary of each peer's H/D score, rate path view, key concerns, and key quote. This mirrors real dealer roundtables: dealers state positions simultaneously, then review peers' summaries before responding.</w:t>
      </w:r>
    </w:p>
    <w:p>
      <w:pPr>
        <w:spacing w:after="120"/>
      </w:pPr>
      <w:r>
        <w:rPr>
          <w:rFonts w:ascii="Calibri" w:hAnsi="Calibri"/>
          <w:sz w:val="22"/>
        </w:rPr>
        <w:t xml:space="preserve">Rounds execute </w:t>
      </w:r>
      <w:r>
        <w:rPr>
          <w:rFonts w:ascii="Calibri" w:hAnsi="Calibri"/>
          <w:b/>
          <w:color w:val="1B3A5C"/>
          <w:sz w:val="22"/>
        </w:rPr>
        <w:t>sequentially</w:t>
      </w:r>
      <w:r>
        <w:rPr>
          <w:rFonts w:ascii="Calibri" w:hAnsi="Calibri"/>
          <w:sz w:val="22"/>
        </w:rPr>
        <w:t xml:space="preserve"> so that peer context from Round N is available for Round N+1. This hybrid parallel-within-sequential structure reduces total simulation time by 5× compared to fully sequential invocations while preserving the semantic dependency between rounds.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Persona Engineering as Hard Constraint</w:t>
      </w:r>
    </w:p>
    <w:p>
      <w:pPr>
        <w:spacing w:after="120"/>
      </w:pPr>
      <w:r>
        <w:rPr>
          <w:rFonts w:ascii="Calibri" w:hAnsi="Calibri"/>
          <w:sz w:val="22"/>
        </w:rPr>
        <w:t xml:space="preserve">Each of the five dealer personas is defined by a profile containing: default hawkish/dovish bias, house voice characteristics, typical analytical concerns, known blind spots, and an explicit H/D score calibration section. The calibration section is the most critical: it instructs the model that the five dealers </w:t>
      </w:r>
      <w:r>
        <w:rPr>
          <w:rFonts w:ascii="Calibri" w:hAnsi="Calibri"/>
          <w:b/>
          <w:color w:val="1B3A5C"/>
          <w:sz w:val="22"/>
        </w:rPr>
        <w:t>must produce a spread of at least 0.6</w:t>
      </w:r>
      <w:r>
        <w:rPr>
          <w:rFonts w:ascii="Calibri" w:hAnsi="Calibri"/>
          <w:sz w:val="22"/>
        </w:rPr>
        <w:t xml:space="preserve"> across their H/D scores, prevents anchoring to default biases on neutral events, and explicitly calls out that hawkish desks must remain more hawkish than dovish desks even after debate rounds.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Session State Design</w:t>
      </w:r>
    </w:p>
    <w:p>
      <w:pPr>
        <w:spacing w:after="120"/>
      </w:pPr>
      <w:r>
        <w:rPr>
          <w:rFonts w:ascii="Calibri" w:hAnsi="Calibri"/>
          <w:sz w:val="22"/>
        </w:rPr>
        <w:t xml:space="preserve">Rather than maintaining a long conversation history per dealer (prohibitively token-expensive across 5 rounds × 5 dealers), each dealer stores only its most recent reaction in a DynamoDB session state record. The system computes </w:t>
      </w:r>
      <w:r>
        <w:rPr>
          <w:rFonts w:ascii="Consolas" w:hAnsi="Consolas"/>
          <w:sz w:val="19"/>
        </w:rPr>
        <w:t>positionShift = newScore − priorScore</w:t>
      </w:r>
      <w:r>
        <w:rPr>
          <w:rFonts w:ascii="Calibri" w:hAnsi="Calibri"/>
          <w:sz w:val="22"/>
        </w:rPr>
        <w:t xml:space="preserve"> incrementally and passes only a curated 5-field peer summary per round. This keeps prompt size roughly constant regardless of round count.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Model Stratification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304"/>
            <w:shd w:val="clear" w:color="auto" w:fill="1B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04"/>
            <w:shd w:val="clear" w:color="auto" w:fill="1B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464"/>
            <w:shd w:val="clear" w:color="auto" w:fill="1B3A5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Query generation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Claude Haiku 4.5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Simple rewriting task; minimize cost and latency</w:t>
            </w:r>
          </w:p>
        </w:tc>
      </w:tr>
      <w:tr>
        <w:tc>
          <w:tcPr>
            <w:tcW w:type="dxa" w:w="2304"/>
            <w:shd w:val="clear" w:color="auto" w:fill="F4F7FB"/>
          </w:tcPr>
          <w:p>
            <w:r>
              <w:rPr>
                <w:rFonts w:ascii="Calibri" w:hAnsi="Calibri"/>
                <w:sz w:val="20"/>
              </w:rPr>
              <w:t>Event synthesis</w:t>
            </w:r>
          </w:p>
        </w:tc>
        <w:tc>
          <w:tcPr>
            <w:tcW w:type="dxa" w:w="2304"/>
            <w:shd w:val="clear" w:color="auto" w:fill="F4F7FB"/>
          </w:tcPr>
          <w:p>
            <w:r>
              <w:rPr>
                <w:rFonts w:ascii="Calibri" w:hAnsi="Calibri"/>
                <w:sz w:val="20"/>
              </w:rPr>
              <w:t>Claude Sonnet 4.6</w:t>
            </w:r>
          </w:p>
        </w:tc>
        <w:tc>
          <w:tcPr>
            <w:tcW w:type="dxa" w:w="4464"/>
            <w:shd w:val="clear" w:color="auto" w:fill="F4F7FB"/>
          </w:tcPr>
          <w:p>
            <w:r>
              <w:rPr>
                <w:rFonts w:ascii="Calibri" w:hAnsi="Calibri"/>
                <w:sz w:val="20"/>
              </w:rPr>
              <w:t>Multi-source synthesis requires strong reasoning</w:t>
            </w:r>
          </w:p>
        </w:tc>
      </w:tr>
      <w:tr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Dealer reactions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Claude Sonnet 4.6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Complex persona reasoning; structured JSON output fidelity</w:t>
            </w:r>
          </w:p>
        </w:tc>
      </w:tr>
      <w:tr>
        <w:tc>
          <w:tcPr>
            <w:tcW w:type="dxa" w:w="2304"/>
            <w:shd w:val="clear" w:color="auto" w:fill="F4F7FB"/>
          </w:tcPr>
          <w:p>
            <w:r>
              <w:rPr>
                <w:rFonts w:ascii="Calibri" w:hAnsi="Calibri"/>
                <w:sz w:val="20"/>
              </w:rPr>
              <w:t>Jarrett chat agent</w:t>
            </w:r>
          </w:p>
        </w:tc>
        <w:tc>
          <w:tcPr>
            <w:tcW w:type="dxa" w:w="2304"/>
            <w:shd w:val="clear" w:color="auto" w:fill="F4F7FB"/>
          </w:tcPr>
          <w:p>
            <w:r>
              <w:rPr>
                <w:rFonts w:ascii="Calibri" w:hAnsi="Calibri"/>
                <w:sz w:val="20"/>
              </w:rPr>
              <w:t>Claude Haiku 4.5</w:t>
            </w:r>
          </w:p>
        </w:tc>
        <w:tc>
          <w:tcPr>
            <w:tcW w:type="dxa" w:w="4464"/>
            <w:shd w:val="clear" w:color="auto" w:fill="F4F7FB"/>
          </w:tcPr>
          <w:p>
            <w:r>
              <w:rPr>
                <w:rFonts w:ascii="Calibri" w:hAnsi="Calibri"/>
                <w:sz w:val="20"/>
              </w:rPr>
              <w:t>Real-time interactive chat; low cold-start latency needed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Frontend Design Decisions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Two-phase New Sounding UX:</w:t>
      </w:r>
      <w:r>
        <w:rPr>
          <w:rFonts w:ascii="Calibri" w:hAnsi="Calibri"/>
          <w:sz w:val="22"/>
        </w:rPr>
        <w:t xml:space="preserve"> Research (automatic) and Launch (manual, user sets rounds and crisis config) are separated into distinct steps so users always review research output before committing to a simulation configuration.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Real-time polling:</w:t>
      </w:r>
      <w:r>
        <w:rPr>
          <w:rFonts w:ascii="Calibri" w:hAnsi="Calibri"/>
          <w:sz w:val="22"/>
        </w:rPr>
        <w:t xml:space="preserve"> The live simulation view polls the backend every 2 seconds, updating dealer progress cards and round results as they arrive.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D3.js Sparklines:</w:t>
      </w:r>
      <w:r>
        <w:rPr>
          <w:rFonts w:ascii="Calibri" w:hAnsi="Calibri"/>
          <w:sz w:val="22"/>
        </w:rPr>
        <w:t xml:space="preserve"> Trajectory data is rendered as a micro-chart in the history table, giving analysts an at-a-glance read of convergence/divergence without opening the full report.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Print-ready reports:</w:t>
      </w:r>
      <w:r>
        <w:rPr>
          <w:rFonts w:ascii="Calibri" w:hAnsi="Calibri"/>
          <w:sz w:val="22"/>
        </w:rPr>
        <w:t xml:space="preserve"> Simulation detail pages support a `?print=1` query parameter that auto-triggers window.print() on load, enabling one-click PDF export from the history table.</w:t>
      </w:r>
    </w:p>
    <w:p>
      <w:pPr>
        <w:spacing w:before="200" w:after="200"/>
        <w:pBdr>
          <w:bottom w:val="single" w:sz="6" w:space="1" w:color="CCD6E0"/>
        </w:pBdr>
      </w:pPr>
    </w:p>
    <w:p>
      <w:pPr>
        <w:spacing w:before="280" w:after="120"/>
        <w:pBdr>
          <w:left w:val="single" w:sz="24" w:space="10" w:color="1B3A5C"/>
        </w:pBdr>
      </w:pPr>
      <w:r>
        <w:rPr>
          <w:rFonts w:ascii="Calibri" w:hAnsi="Calibri"/>
          <w:b/>
          <w:color w:val="1B3A5C"/>
          <w:sz w:val="26"/>
        </w:rPr>
        <w:t>5.  Usability and Customization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Usability</w:t>
      </w:r>
    </w:p>
    <w:p>
      <w:pPr>
        <w:spacing w:after="120"/>
      </w:pPr>
      <w:r>
        <w:rPr>
          <w:rFonts w:ascii="Calibri" w:hAnsi="Calibri"/>
          <w:sz w:val="22"/>
        </w:rPr>
        <w:t>The application is designed around a three-step user journey requiring no financial domain expertise to operate: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Enter a topic</w:t>
      </w:r>
      <w:r>
        <w:rPr>
          <w:rFonts w:ascii="Calibri" w:hAnsi="Calibri"/>
          <w:sz w:val="22"/>
        </w:rPr>
        <w:t xml:space="preserve"> — Search by keyword, paste raw event text (Bloomberg terminal output, Fed statement text, news articles), or choose a sample scenario.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Review the research summary</w:t>
      </w:r>
      <w:r>
        <w:rPr>
          <w:rFonts w:ascii="Calibri" w:hAnsi="Calibri"/>
          <w:sz w:val="22"/>
        </w:rPr>
        <w:t xml:space="preserve"> — The system fetches live web sources and shows a synthesized event brief before the user configures rounds (3–5) and optional crisis injection.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Watch the simulation run</w:t>
      </w:r>
      <w:r>
        <w:rPr>
          <w:rFonts w:ascii="Calibri" w:hAnsi="Calibri"/>
          <w:sz w:val="22"/>
        </w:rPr>
        <w:t xml:space="preserve"> — Real-time dealer progress, then a full report with position evolution chart, knowledge graph, consensus score, and dealer-by-dealer reasoning.</w:t>
      </w:r>
    </w:p>
    <w:p>
      <w:pPr>
        <w:spacing w:after="120"/>
      </w:pPr>
      <w:r>
        <w:rPr>
          <w:rFonts w:ascii="Calibri" w:hAnsi="Calibri"/>
          <w:sz w:val="22"/>
        </w:rPr>
        <w:t xml:space="preserve">The </w:t>
      </w:r>
      <w:r>
        <w:rPr>
          <w:rFonts w:ascii="Calibri" w:hAnsi="Calibri"/>
          <w:b/>
          <w:color w:val="1B3A5C"/>
          <w:sz w:val="22"/>
        </w:rPr>
        <w:t>Jarrett AI chat assistant</w:t>
      </w:r>
      <w:r>
        <w:rPr>
          <w:rFonts w:ascii="Calibri" w:hAnsi="Calibri"/>
          <w:sz w:val="22"/>
        </w:rPr>
        <w:t xml:space="preserve"> (accessible from any page via a floating widget) can explain any metric, compare dealer positions, answer questions about specific dealer reasoning, or provide context on what "hawkish/dovish" means — making the platform accessible to users without deep fixed-income market experience.</w:t>
      </w:r>
    </w:p>
    <w:p>
      <w:pPr>
        <w:spacing w:after="120"/>
      </w:pPr>
      <w:r>
        <w:rPr>
          <w:rFonts w:ascii="Calibri" w:hAnsi="Calibri"/>
          <w:sz w:val="22"/>
        </w:rPr>
        <w:t>Jarrett is itself a multi-agent router: questions directed at a specific dealer (e.g., "What does Goldman Sachs think about duration risk?") are routed to that dealer's persona for a character-accurate response, while general questions are answered by Jarrett in his orchestrator role.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Customization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Simulation rounds:</w:t>
      </w:r>
      <w:r>
        <w:rPr>
          <w:rFonts w:ascii="Calibri" w:hAnsi="Calibri"/>
          <w:sz w:val="22"/>
        </w:rPr>
        <w:t xml:space="preserve"> Users choose 3, 4, or 5 rounds via a slider. More rounds capture longer debate dynamics; fewer rounds prioritize speed.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Crisis injection:</w:t>
      </w:r>
      <w:r>
        <w:rPr>
          <w:rFonts w:ascii="Calibri" w:hAnsi="Calibri"/>
          <w:sz w:val="22"/>
        </w:rPr>
        <w:t xml:space="preserve"> Users can enable a mid-simulation shock and author any crisis text — allowing fully custom tail-risk scenarios.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Input mode:</w:t>
      </w:r>
      <w:r>
        <w:rPr>
          <w:rFonts w:ascii="Calibri" w:hAnsi="Calibri"/>
          <w:sz w:val="22"/>
        </w:rPr>
        <w:t xml:space="preserve"> Search by topic (Tavily-backed), paste raw event text, or select from sample scenarios — accommodating different workflow preferences.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Persona extensibility:</w:t>
      </w:r>
      <w:r>
        <w:rPr>
          <w:rFonts w:ascii="Calibri" w:hAnsi="Calibri"/>
          <w:sz w:val="22"/>
        </w:rPr>
        <w:t xml:space="preserve"> The dealer persona system is data-driven. Adding a new dealer requires only a new profile entry — no code changes. Personas for buy-side institutions (PIMCO, BlackRock) or foreign dealer banks could be added for future iterations.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Topic-based filtering:</w:t>
      </w:r>
      <w:r>
        <w:rPr>
          <w:rFonts w:ascii="Calibri" w:hAnsi="Calibri"/>
          <w:sz w:val="22"/>
        </w:rPr>
        <w:t xml:space="preserve"> The history page automatically infers topic categories (Monetary Policy, Trade Policy, Geopolitical, FX Policy, Credit, Inflation, Macro) from simulation titles and provides filter dropdowns.</w:t>
      </w:r>
    </w:p>
    <w:p>
      <w:pPr>
        <w:spacing w:before="200" w:after="200"/>
        <w:pBdr>
          <w:bottom w:val="single" w:sz="6" w:space="1" w:color="CCD6E0"/>
        </w:pBdr>
      </w:pPr>
    </w:p>
    <w:p>
      <w:pPr>
        <w:spacing w:before="280" w:after="120"/>
        <w:pBdr>
          <w:left w:val="single" w:sz="24" w:space="10" w:color="1B3A5C"/>
        </w:pBdr>
      </w:pPr>
      <w:r>
        <w:rPr>
          <w:rFonts w:ascii="Calibri" w:hAnsi="Calibri"/>
          <w:b/>
          <w:color w:val="1B3A5C"/>
          <w:sz w:val="26"/>
        </w:rPr>
        <w:t>6.  Improvements That Can Be Made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Near-Term (High Priority)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Real-time streaming:</w:t>
      </w:r>
      <w:r>
        <w:rPr>
          <w:rFonts w:ascii="Calibri" w:hAnsi="Calibri"/>
          <w:sz w:val="22"/>
        </w:rPr>
        <w:t xml:space="preserve"> Replace polling with WebSocket or Server-Sent Events so dealer reactions stream token-by-token as they generate, eliminating the 2-second polling lag.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Persistent storage:</w:t>
      </w:r>
      <w:r>
        <w:rPr>
          <w:rFonts w:ascii="Calibri" w:hAnsi="Calibri"/>
          <w:sz w:val="22"/>
        </w:rPr>
        <w:t xml:space="preserve"> Replace the in-memory simulation store with DynamoDB persistence so simulations survive server restarts and are accessible across sessions and users.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Authentication and multi-user support:</w:t>
      </w:r>
      <w:r>
        <w:rPr>
          <w:rFonts w:ascii="Calibri" w:hAnsi="Calibri"/>
          <w:sz w:val="22"/>
        </w:rPr>
        <w:t xml:space="preserve"> The auth system (JWT) is scaffolded but not fully wired to simulation ownership — full auth would allow multiple FRBNY analysts to maintain separate simulation histories.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Tavily integration in production:</w:t>
      </w:r>
      <w:r>
        <w:rPr>
          <w:rFonts w:ascii="Calibri" w:hAnsi="Calibri"/>
          <w:sz w:val="22"/>
        </w:rPr>
        <w:t xml:space="preserve"> The research pipeline's Tavily integration requires a production API key and Lambda deployment. Currently running locally; Lambda deployment would make research available in the cloud-hosted version.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Medium-Term (Product Depth)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Quantitative dealer profiles:</w:t>
      </w:r>
      <w:r>
        <w:rPr>
          <w:rFonts w:ascii="Calibri" w:hAnsi="Calibri"/>
          <w:sz w:val="22"/>
        </w:rPr>
        <w:t xml:space="preserve"> Augment qualitative persona profiles with actual FRBNY Primary Dealer Survey data to calibrate H/D default biases with real historical signals.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Extended persona library:</w:t>
      </w:r>
      <w:r>
        <w:rPr>
          <w:rFonts w:ascii="Calibri" w:hAnsi="Calibri"/>
          <w:sz w:val="22"/>
        </w:rPr>
        <w:t xml:space="preserve"> Add buy-side institutions (PIMCO, BlackRock, Vanguard) and foreign primary dealers (Deutsche Bank, Barclays, Nomura) to capture a broader market sounding landscape.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Simulation comparison:</w:t>
      </w:r>
      <w:r>
        <w:rPr>
          <w:rFonts w:ascii="Calibri" w:hAnsi="Calibri"/>
          <w:sz w:val="22"/>
        </w:rPr>
        <w:t xml:space="preserve"> Allow analysts to compare two simulations side-by-side — e.g., "50bp cut" vs. "25bp cut" — to see how dealer consensus shifts between scenarios.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Historical backtesting:</w:t>
      </w:r>
      <w:r>
        <w:rPr>
          <w:rFonts w:ascii="Calibri" w:hAnsi="Calibri"/>
          <w:sz w:val="22"/>
        </w:rPr>
        <w:t xml:space="preserve"> Feed historical FOMC decisions as events and compare simulated dealer reactions against actual published dealer research to validate and calibrate the model.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Export to structured formats:</w:t>
      </w:r>
      <w:r>
        <w:rPr>
          <w:rFonts w:ascii="Calibri" w:hAnsi="Calibri"/>
          <w:sz w:val="22"/>
        </w:rPr>
        <w:t xml:space="preserve"> Export full simulation results as JSON or Excel for downstream quantitative analysis and integration with existing FRBNY analytical workflows.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Longer-Term (Research Direction)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Fine-tuned dealer models:</w:t>
      </w:r>
      <w:r>
        <w:rPr>
          <w:rFonts w:ascii="Calibri" w:hAnsi="Calibri"/>
          <w:sz w:val="22"/>
        </w:rPr>
        <w:t xml:space="preserve"> Train fine-tuned adapters on each dealer's published research (strategy notes, rate forecasts, market commentaries) to improve persona accuracy beyond prompt engineering.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Real-time Bloomberg / Refinitiv integration:</w:t>
      </w:r>
      <w:r>
        <w:rPr>
          <w:rFonts w:ascii="Calibri" w:hAnsi="Calibri"/>
          <w:sz w:val="22"/>
        </w:rPr>
        <w:t xml:space="preserve"> Replace Tavily with a direct Bloomberg Data License feed for institutional-grade, normalized financial data sourcing.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color w:val="1B3A5C"/>
          <w:sz w:val="22"/>
        </w:rPr>
        <w:t>Influence weight learning:</w:t>
      </w:r>
      <w:r>
        <w:rPr>
          <w:rFonts w:ascii="Calibri" w:hAnsi="Calibri"/>
          <w:sz w:val="22"/>
        </w:rPr>
        <w:t xml:space="preserve"> Use historical simulation data to learn which dealers actually influence others most — building an empirical influence network rather than one inferred from LLM self-report.</w:t>
      </w:r>
    </w:p>
    <w:p>
      <w:pPr>
        <w:spacing w:before="200" w:after="200"/>
        <w:pBdr>
          <w:bottom w:val="single" w:sz="6" w:space="1" w:color="CCD6E0"/>
        </w:pBdr>
      </w:pPr>
    </w:p>
    <w:p>
      <w:pPr>
        <w:spacing w:before="280" w:after="120"/>
        <w:pBdr>
          <w:left w:val="single" w:sz="24" w:space="10" w:color="1B3A5C"/>
        </w:pBdr>
      </w:pPr>
      <w:r>
        <w:rPr>
          <w:rFonts w:ascii="Calibri" w:hAnsi="Calibri"/>
          <w:b/>
          <w:color w:val="1B3A5C"/>
          <w:sz w:val="26"/>
        </w:rPr>
        <w:t>7.  Unique and Exceptional Aspects of the Project</w:t>
      </w:r>
    </w:p>
    <w:p>
      <w:pPr>
        <w:spacing w:before="160" w:after="160"/>
        <w:ind w:left="432"/>
        <w:shd w:val="clear" w:color="auto" w:fill="EEF4FB"/>
        <w:pBdr>
          <w:left w:val="single" w:sz="24" w:space="10" w:color="2E5F8C"/>
        </w:pBdr>
      </w:pPr>
      <w:r>
        <w:rPr>
          <w:rFonts w:ascii="Calibri" w:hAnsi="Calibri"/>
          <w:b/>
          <w:color w:val="1B3A5C"/>
          <w:sz w:val="22"/>
        </w:rPr>
        <w:t>MarketSounding is not a chatbot that answers questions about markets. It is a structured simulation of how institutional disagreement forms, resolves, or entrenches under debate — a capability that does not exist anywhere in today's market intelligence toolset.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Persona as Constraint, Not Template</w:t>
      </w:r>
    </w:p>
    <w:p>
      <w:pPr>
        <w:spacing w:after="120"/>
      </w:pPr>
      <w:r>
        <w:rPr>
          <w:rFonts w:ascii="Calibri" w:hAnsi="Calibri"/>
          <w:sz w:val="22"/>
        </w:rPr>
        <w:t xml:space="preserve">Most LLM applications give models a persona description and hope for the best. MarketSounding treats persona as a </w:t>
      </w:r>
      <w:r>
        <w:rPr>
          <w:rFonts w:ascii="Calibri" w:hAnsi="Calibri"/>
          <w:b/>
          <w:color w:val="1B3A5C"/>
          <w:sz w:val="22"/>
        </w:rPr>
        <w:t>hard analytical constraint</w:t>
      </w:r>
      <w:r>
        <w:rPr>
          <w:rFonts w:ascii="Calibri" w:hAnsi="Calibri"/>
          <w:sz w:val="22"/>
        </w:rPr>
        <w:t>. Each dealer has documented blind spots called out explicitly in the prompt; voice characteristics that must be detectable in the prose without seeing the author's name; institutional concerns that must appear in the output; and a calibration rule requiring measurably divergent H/D scores across the group. A Goldman Sachs reaction that reads like a Morgan Stanley reaction is a system failure — and the architecture is explicitly designed to prevent it.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Emergent Consensus as a Measurable Signal</w:t>
      </w:r>
    </w:p>
    <w:p>
      <w:pPr>
        <w:spacing w:after="120"/>
      </w:pPr>
      <w:r>
        <w:rPr>
          <w:rFonts w:ascii="Calibri" w:hAnsi="Calibri"/>
          <w:sz w:val="22"/>
        </w:rPr>
        <w:t xml:space="preserve">Rather than averaging dealer views (which destroys the signal), MarketSounding tracks </w:t>
      </w:r>
      <w:r>
        <w:rPr>
          <w:rFonts w:ascii="Calibri" w:hAnsi="Calibri"/>
          <w:b/>
          <w:color w:val="1B3A5C"/>
          <w:sz w:val="22"/>
        </w:rPr>
        <w:t>how consensus forms</w:t>
      </w:r>
      <w:r>
        <w:rPr>
          <w:rFonts w:ascii="Calibri" w:hAnsi="Calibri"/>
          <w:sz w:val="22"/>
        </w:rPr>
        <w:t xml:space="preserve"> — whether dealers converge early and hold, diverge as the debate deepens, or reverse after a crisis shock. The trajectory vector and consensus score are computed metrics, not LLM outputs, ensuring they are reliable even when individual dealer reasoning is noisy.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The Jarrett Multi-Agent Router</w:t>
      </w:r>
    </w:p>
    <w:p>
      <w:pPr>
        <w:spacing w:after="120"/>
      </w:pPr>
      <w:r>
        <w:rPr>
          <w:rFonts w:ascii="Calibri" w:hAnsi="Calibri"/>
          <w:sz w:val="22"/>
        </w:rPr>
        <w:t>Jarrett is not a single-model chatbot. When a user asks "What does Goldman Sachs think about duration risk given today's simulation?", Jarrett detects the dealer-specific intent and routes the question to a Goldman Sachs persona LLM invocation — producing a Goldman Sachs-voiced, in-character response. For general questions, Jarrett responds in his own orchestrator voice. This two-layer routing architecture means every dealer is simultaneously available for direct conversation, effectively giving the analyst a five-way primary dealer hotline.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Crisis Injection as Interactive Exploration</w:t>
      </w:r>
    </w:p>
    <w:p>
      <w:pPr>
        <w:spacing w:after="120"/>
      </w:pPr>
      <w:r>
        <w:rPr>
          <w:rFonts w:ascii="Calibri" w:hAnsi="Calibri"/>
          <w:sz w:val="22"/>
        </w:rPr>
        <w:t>The crisis injection feature transforms MarketSounding from a batch analysis tool into an interactive exploration environment. Analysts can watch dealer consensus form across three rounds, then inject a black-swan event and observe how each institution's framework leads to a characteristically different re-evaluation. Goldman Sachs will re-evaluate through a growth-risk lens; Morgan Stanley through a tail-risk / inflation-persistence lens; Bank of America through a consumer-credit-health lens. The divergence in crisis responses is often more illuminating than the initial reactions.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Knowledge Graph as Running Market Intelligence</w:t>
      </w:r>
    </w:p>
    <w:p>
      <w:pPr>
        <w:spacing w:after="120"/>
      </w:pPr>
      <w:r>
        <w:rPr>
          <w:rFonts w:ascii="Calibri" w:hAnsi="Calibri"/>
          <w:sz w:val="22"/>
        </w:rPr>
        <w:t xml:space="preserve">Every simulation contributes incrementally to a knowledge graph. Over dozens of simulations, this graph reveals structural patterns invisible in any individual run: which concerns activate together across events; which dealers are consistently first-movers in shifting group consensus; and which market topics produce the highest dealer divergence — signaling genuine uncertainty in the market rather than a strong consensus view. This accumulation effect means MarketSounding becomes </w:t>
      </w:r>
      <w:r>
        <w:rPr>
          <w:rFonts w:ascii="Calibri" w:hAnsi="Calibri"/>
          <w:b/>
          <w:color w:val="1B3A5C"/>
          <w:sz w:val="22"/>
        </w:rPr>
        <w:t>more valuable over time</w:t>
      </w:r>
      <w:r>
        <w:rPr>
          <w:rFonts w:ascii="Calibri" w:hAnsi="Calibri"/>
          <w:sz w:val="22"/>
        </w:rPr>
        <w:t>, not just as a one-off simulation tool but as an institutional memory of simulated dealer discourse.</w:t>
      </w:r>
    </w:p>
    <w:p>
      <w:pPr>
        <w:spacing w:before="280" w:after="120"/>
      </w:pPr>
      <w:r>
        <w:rPr>
          <w:rFonts w:ascii="Calibri" w:hAnsi="Calibri"/>
          <w:b/>
          <w:color w:val="2E5F8C"/>
          <w:sz w:val="22"/>
        </w:rPr>
        <w:t>Built for a Federal Reserve Context</w:t>
      </w:r>
    </w:p>
    <w:p>
      <w:pPr>
        <w:spacing w:after="120"/>
      </w:pPr>
      <w:r>
        <w:rPr>
          <w:rFonts w:ascii="Calibri" w:hAnsi="Calibri"/>
          <w:sz w:val="22"/>
        </w:rPr>
        <w:t>Every design decision — AWS Bedrock for data sovereignty, structured JSON outputs for auditability, persona constraints for institutional accuracy, the consensus metric for directional signal — was made with the Federal Reserve's analytical workflow in mind. This is not a general-purpose AI tool adapted to finance; it is a purpose-built market intelligence platform designed around the specific operational needs of a central bank conducting primary dealer market soundings.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