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40C50" w14:textId="77777777" w:rsidR="006E2567" w:rsidRDefault="006E2567" w:rsidP="00DA64B5">
      <w:pPr>
        <w:jc w:val="center"/>
        <w:rPr>
          <w:b/>
          <w:bCs/>
          <w:sz w:val="36"/>
          <w:szCs w:val="36"/>
        </w:rPr>
      </w:pPr>
      <w:r>
        <w:rPr>
          <w:b/>
          <w:bCs/>
          <w:sz w:val="36"/>
          <w:szCs w:val="36"/>
        </w:rPr>
        <w:t xml:space="preserve">User guide of the code for </w:t>
      </w:r>
    </w:p>
    <w:p w14:paraId="4D785017" w14:textId="39FE0CF6" w:rsidR="00741F52" w:rsidRPr="00DA64B5" w:rsidRDefault="006E2567" w:rsidP="00DA64B5">
      <w:pPr>
        <w:jc w:val="center"/>
        <w:rPr>
          <w:b/>
          <w:bCs/>
          <w:sz w:val="36"/>
          <w:szCs w:val="36"/>
        </w:rPr>
      </w:pPr>
      <w:r w:rsidRPr="006E2567">
        <w:rPr>
          <w:b/>
          <w:bCs/>
          <w:sz w:val="36"/>
          <w:szCs w:val="36"/>
        </w:rPr>
        <w:t>multi-modal image processing pipeline</w:t>
      </w:r>
    </w:p>
    <w:p w14:paraId="412539A3" w14:textId="77777777" w:rsidR="004B5F23" w:rsidRDefault="004B5F23"/>
    <w:p w14:paraId="0D2090AA" w14:textId="6ED51A1F" w:rsidR="00DA64B5" w:rsidRPr="00C71036" w:rsidRDefault="005D251B" w:rsidP="00DA64B5">
      <w:pPr>
        <w:pStyle w:val="ListParagraph"/>
        <w:numPr>
          <w:ilvl w:val="0"/>
          <w:numId w:val="1"/>
        </w:numPr>
        <w:rPr>
          <w:b/>
          <w:bCs/>
          <w:sz w:val="28"/>
          <w:szCs w:val="28"/>
        </w:rPr>
      </w:pPr>
      <w:r>
        <w:rPr>
          <w:b/>
          <w:bCs/>
          <w:sz w:val="28"/>
          <w:szCs w:val="28"/>
        </w:rPr>
        <w:t>Code list</w:t>
      </w:r>
    </w:p>
    <w:p w14:paraId="22A0A8E8" w14:textId="28750128" w:rsidR="00A21E00" w:rsidRPr="009E4D4C" w:rsidRDefault="00A21E00" w:rsidP="00A21E00">
      <w:pPr>
        <w:pStyle w:val="ListParagraph"/>
        <w:numPr>
          <w:ilvl w:val="1"/>
          <w:numId w:val="1"/>
        </w:numPr>
        <w:rPr>
          <w:b/>
          <w:bCs/>
          <w:sz w:val="24"/>
          <w:szCs w:val="24"/>
        </w:rPr>
      </w:pPr>
      <w:r w:rsidRPr="009E4D4C">
        <w:rPr>
          <w:b/>
          <w:bCs/>
          <w:sz w:val="24"/>
          <w:szCs w:val="24"/>
        </w:rPr>
        <w:t xml:space="preserve">Entrance </w:t>
      </w:r>
      <w:r w:rsidR="005B1C0C">
        <w:rPr>
          <w:b/>
          <w:bCs/>
          <w:sz w:val="24"/>
          <w:szCs w:val="24"/>
        </w:rPr>
        <w:t>code</w:t>
      </w:r>
    </w:p>
    <w:p w14:paraId="58533195" w14:textId="0A107D7C" w:rsidR="00A21E00" w:rsidRDefault="007B6B34" w:rsidP="00A21E00">
      <w:pPr>
        <w:pStyle w:val="ListParagraph"/>
        <w:numPr>
          <w:ilvl w:val="0"/>
          <w:numId w:val="2"/>
        </w:numPr>
      </w:pPr>
      <w:r w:rsidRPr="007B6B34">
        <w:t>A0</w:t>
      </w:r>
      <w:r w:rsidR="00883DF0">
        <w:rPr>
          <w:rFonts w:hint="eastAsia"/>
        </w:rPr>
        <w:t>1</w:t>
      </w:r>
      <w:r w:rsidRPr="007B6B34">
        <w:t>_ReconMain</w:t>
      </w:r>
    </w:p>
    <w:p w14:paraId="5E1830E6" w14:textId="455A2B1D" w:rsidR="002456A5" w:rsidRDefault="002456A5" w:rsidP="002456A5">
      <w:pPr>
        <w:pStyle w:val="ListParagraph"/>
        <w:ind w:left="1152"/>
      </w:pPr>
      <w:r>
        <w:t xml:space="preserve">The entrance code for image </w:t>
      </w:r>
      <w:r w:rsidR="00550E86">
        <w:t>reconstruction</w:t>
      </w:r>
      <w:r>
        <w:t xml:space="preserve"> </w:t>
      </w:r>
      <w:r w:rsidR="00550E86">
        <w:t>includes</w:t>
      </w:r>
      <w:r>
        <w:t xml:space="preserve"> fluorescence</w:t>
      </w:r>
      <w:r w:rsidR="00097923">
        <w:t xml:space="preserve"> deconvolution, phase retrieval,</w:t>
      </w:r>
      <w:r w:rsidR="00DD0546">
        <w:t xml:space="preserve"> and</w:t>
      </w:r>
      <w:r w:rsidR="00097923">
        <w:t xml:space="preserve"> multi-tile </w:t>
      </w:r>
      <w:r w:rsidR="00FC66B4">
        <w:rPr>
          <w:rFonts w:hint="eastAsia"/>
        </w:rPr>
        <w:t>stitching</w:t>
      </w:r>
      <w:r w:rsidR="00C754DA">
        <w:t>.</w:t>
      </w:r>
    </w:p>
    <w:p w14:paraId="0D828556" w14:textId="711B6B55" w:rsidR="007B6B34" w:rsidRDefault="007B6B34" w:rsidP="00A21E00">
      <w:pPr>
        <w:pStyle w:val="ListParagraph"/>
        <w:numPr>
          <w:ilvl w:val="0"/>
          <w:numId w:val="2"/>
        </w:numPr>
      </w:pPr>
      <w:r w:rsidRPr="007B6B34">
        <w:t>A0</w:t>
      </w:r>
      <w:r w:rsidR="00883DF0">
        <w:rPr>
          <w:rFonts w:hint="eastAsia"/>
        </w:rPr>
        <w:t>2</w:t>
      </w:r>
      <w:r w:rsidRPr="007B6B34">
        <w:t>_Multicycle_</w:t>
      </w:r>
      <w:r w:rsidR="000518B5">
        <w:rPr>
          <w:rFonts w:hint="eastAsia"/>
        </w:rPr>
        <w:t>Alignment</w:t>
      </w:r>
    </w:p>
    <w:p w14:paraId="649A5EA5" w14:textId="2271FDB0" w:rsidR="009E0034" w:rsidRDefault="009E0034" w:rsidP="009E0034">
      <w:pPr>
        <w:pStyle w:val="ListParagraph"/>
        <w:ind w:left="1152"/>
      </w:pPr>
      <w:r>
        <w:t>The entrance code for multi</w:t>
      </w:r>
      <w:r w:rsidR="00917425">
        <w:t>-</w:t>
      </w:r>
      <w:r>
        <w:t xml:space="preserve">cycle </w:t>
      </w:r>
      <w:r w:rsidR="000518B5">
        <w:rPr>
          <w:rFonts w:hint="eastAsia"/>
        </w:rPr>
        <w:t>alignment</w:t>
      </w:r>
      <w:r w:rsidR="00850976">
        <w:t>.</w:t>
      </w:r>
    </w:p>
    <w:p w14:paraId="31399ABA" w14:textId="2320CFDE" w:rsidR="007247B5" w:rsidRDefault="00883DF0" w:rsidP="00A21E00">
      <w:pPr>
        <w:pStyle w:val="ListParagraph"/>
        <w:numPr>
          <w:ilvl w:val="0"/>
          <w:numId w:val="2"/>
        </w:numPr>
      </w:pPr>
      <w:r w:rsidRPr="00883DF0">
        <w:t>A0</w:t>
      </w:r>
      <w:r>
        <w:rPr>
          <w:rFonts w:hint="eastAsia"/>
        </w:rPr>
        <w:t>3</w:t>
      </w:r>
      <w:r w:rsidRPr="00883DF0">
        <w:t>_Multimodel_Registration</w:t>
      </w:r>
    </w:p>
    <w:p w14:paraId="73BBAF70" w14:textId="378FDA6B" w:rsidR="008A2430" w:rsidRDefault="008A2430" w:rsidP="008A2430">
      <w:pPr>
        <w:pStyle w:val="ListParagraph"/>
        <w:ind w:left="1152"/>
      </w:pPr>
      <w:r>
        <w:t xml:space="preserve">The entrance code for the registration between H&amp;E image and </w:t>
      </w:r>
      <w:r w:rsidR="00D70AED">
        <w:t>fluorescence image.</w:t>
      </w:r>
    </w:p>
    <w:p w14:paraId="355A7C1C" w14:textId="27873002" w:rsidR="00DA64B5" w:rsidRPr="009E4D4C" w:rsidRDefault="007247B5" w:rsidP="00DA64B5">
      <w:pPr>
        <w:pStyle w:val="ListParagraph"/>
        <w:numPr>
          <w:ilvl w:val="1"/>
          <w:numId w:val="1"/>
        </w:numPr>
        <w:rPr>
          <w:b/>
          <w:bCs/>
          <w:sz w:val="24"/>
          <w:szCs w:val="24"/>
        </w:rPr>
      </w:pPr>
      <w:r w:rsidRPr="009E4D4C">
        <w:rPr>
          <w:b/>
          <w:bCs/>
          <w:sz w:val="24"/>
          <w:szCs w:val="24"/>
        </w:rPr>
        <w:t>Functions</w:t>
      </w:r>
    </w:p>
    <w:p w14:paraId="2E6DE6F1" w14:textId="0C498327" w:rsidR="00B60E76" w:rsidRDefault="00EB623A" w:rsidP="00B60E76">
      <w:pPr>
        <w:pStyle w:val="ListParagraph"/>
        <w:numPr>
          <w:ilvl w:val="0"/>
          <w:numId w:val="3"/>
        </w:numPr>
      </w:pPr>
      <w:r w:rsidRPr="00EB623A">
        <w:t>F00_FluoAndPhaseRecon</w:t>
      </w:r>
    </w:p>
    <w:p w14:paraId="59B96833" w14:textId="378AEF15" w:rsidR="00EB623A" w:rsidRDefault="0043553F" w:rsidP="00B60E76">
      <w:pPr>
        <w:pStyle w:val="ListParagraph"/>
        <w:numPr>
          <w:ilvl w:val="0"/>
          <w:numId w:val="3"/>
        </w:numPr>
      </w:pPr>
      <w:r w:rsidRPr="0043553F">
        <w:t>F01_DeconFluorPart</w:t>
      </w:r>
    </w:p>
    <w:p w14:paraId="6866C10F" w14:textId="01D1DE2F" w:rsidR="000A55CF" w:rsidRDefault="000A55CF" w:rsidP="000A55CF">
      <w:pPr>
        <w:pStyle w:val="ListParagraph"/>
        <w:ind w:left="1152"/>
      </w:pPr>
      <w:r>
        <w:t xml:space="preserve">The function of </w:t>
      </w:r>
      <w:r w:rsidR="00550E86">
        <w:t>region-based</w:t>
      </w:r>
      <w:r>
        <w:t xml:space="preserve"> deconvolution of fluorescence images</w:t>
      </w:r>
      <w:r w:rsidR="009A25C8">
        <w:t>.</w:t>
      </w:r>
    </w:p>
    <w:p w14:paraId="4E348411" w14:textId="681D2122" w:rsidR="0043553F" w:rsidRDefault="0043553F" w:rsidP="00B60E76">
      <w:pPr>
        <w:pStyle w:val="ListParagraph"/>
        <w:numPr>
          <w:ilvl w:val="0"/>
          <w:numId w:val="3"/>
        </w:numPr>
      </w:pPr>
      <w:r w:rsidRPr="0043553F">
        <w:t>F02_DeconPhasePart</w:t>
      </w:r>
    </w:p>
    <w:p w14:paraId="0CC8ECD0" w14:textId="67DA1F9B" w:rsidR="009A25C8" w:rsidRDefault="009A25C8" w:rsidP="009A25C8">
      <w:pPr>
        <w:pStyle w:val="ListParagraph"/>
        <w:ind w:left="1152"/>
      </w:pPr>
      <w:r>
        <w:t xml:space="preserve">The function of </w:t>
      </w:r>
      <w:r w:rsidR="008C5631">
        <w:t>region-based</w:t>
      </w:r>
      <w:r>
        <w:t xml:space="preserve"> retrieval </w:t>
      </w:r>
      <w:r w:rsidR="008C5631">
        <w:t>of</w:t>
      </w:r>
      <w:r w:rsidR="00DB0430">
        <w:t xml:space="preserve"> quantitative phase image</w:t>
      </w:r>
      <w:r w:rsidR="003976B7">
        <w:t>.</w:t>
      </w:r>
    </w:p>
    <w:p w14:paraId="7E6CC6AB" w14:textId="63A12613" w:rsidR="0043553F" w:rsidRDefault="0043553F" w:rsidP="00B60E76">
      <w:pPr>
        <w:pStyle w:val="ListParagraph"/>
        <w:numPr>
          <w:ilvl w:val="0"/>
          <w:numId w:val="3"/>
        </w:numPr>
      </w:pPr>
      <w:r w:rsidRPr="0043553F">
        <w:t>F03_StitchTiles</w:t>
      </w:r>
    </w:p>
    <w:p w14:paraId="04158614" w14:textId="46F03AE3" w:rsidR="00081782" w:rsidRDefault="00081782" w:rsidP="00081782">
      <w:pPr>
        <w:pStyle w:val="ListParagraph"/>
        <w:ind w:left="1152"/>
      </w:pPr>
      <w:r>
        <w:t xml:space="preserve">The function of </w:t>
      </w:r>
      <w:r w:rsidR="007F698E">
        <w:t xml:space="preserve">phase-image based </w:t>
      </w:r>
      <w:r>
        <w:t>multi-tile stitching.</w:t>
      </w:r>
    </w:p>
    <w:p w14:paraId="6B5D1A21" w14:textId="070B2A13" w:rsidR="00D16E78" w:rsidRDefault="00D16E78" w:rsidP="00B60E76">
      <w:pPr>
        <w:pStyle w:val="ListParagraph"/>
        <w:numPr>
          <w:ilvl w:val="0"/>
          <w:numId w:val="3"/>
        </w:numPr>
      </w:pPr>
      <w:r w:rsidRPr="00D16E78">
        <w:t>F11_LRDeconv</w:t>
      </w:r>
    </w:p>
    <w:p w14:paraId="33F494E4" w14:textId="022FAB74" w:rsidR="00DD7753" w:rsidRDefault="00DD7753" w:rsidP="00DD7753">
      <w:pPr>
        <w:pStyle w:val="ListParagraph"/>
        <w:ind w:left="1152"/>
      </w:pPr>
      <w:r>
        <w:t>The function of Richard</w:t>
      </w:r>
      <w:r w:rsidR="004605E2">
        <w:t>son</w:t>
      </w:r>
      <w:r>
        <w:t>-</w:t>
      </w:r>
      <w:r w:rsidR="004605E2">
        <w:t>L</w:t>
      </w:r>
      <w:r>
        <w:t xml:space="preserve">ucy </w:t>
      </w:r>
      <w:r w:rsidR="004605E2">
        <w:t>deconvolution of fluorescence images.</w:t>
      </w:r>
    </w:p>
    <w:p w14:paraId="5AE1CA50" w14:textId="6459BAB5" w:rsidR="00D16E78" w:rsidRDefault="00D16E78" w:rsidP="00B60E76">
      <w:pPr>
        <w:pStyle w:val="ListParagraph"/>
        <w:numPr>
          <w:ilvl w:val="0"/>
          <w:numId w:val="3"/>
        </w:numPr>
      </w:pPr>
      <w:r w:rsidRPr="00D16E78">
        <w:t>F11_WBDeconv</w:t>
      </w:r>
    </w:p>
    <w:p w14:paraId="69A8A566" w14:textId="34DFB9D1" w:rsidR="004605E2" w:rsidRDefault="004605E2" w:rsidP="004605E2">
      <w:pPr>
        <w:pStyle w:val="ListParagraph"/>
        <w:ind w:left="1152"/>
      </w:pPr>
      <w:r>
        <w:t xml:space="preserve">The function of </w:t>
      </w:r>
      <w:r w:rsidR="00A33720">
        <w:t>W</w:t>
      </w:r>
      <w:r w:rsidR="00A33720" w:rsidRPr="00A33720">
        <w:t>iener</w:t>
      </w:r>
      <w:r w:rsidR="00A33720">
        <w:t>-B</w:t>
      </w:r>
      <w:r w:rsidR="00A33720" w:rsidRPr="00A33720">
        <w:t>utterworth</w:t>
      </w:r>
      <w:r w:rsidR="00A33720">
        <w:t xml:space="preserve"> deconvolution of fluorescence images.</w:t>
      </w:r>
    </w:p>
    <w:p w14:paraId="15CD2071" w14:textId="25D316E7" w:rsidR="00D96BB3" w:rsidRDefault="00D96BB3" w:rsidP="00B60E76">
      <w:pPr>
        <w:pStyle w:val="ListParagraph"/>
        <w:numPr>
          <w:ilvl w:val="0"/>
          <w:numId w:val="3"/>
        </w:numPr>
      </w:pPr>
      <w:r w:rsidRPr="00D96BB3">
        <w:t>F12_ReadImgStack</w:t>
      </w:r>
    </w:p>
    <w:p w14:paraId="38A38B46" w14:textId="0C01E7F1" w:rsidR="00996345" w:rsidRDefault="00EB2B2B" w:rsidP="00996345">
      <w:pPr>
        <w:pStyle w:val="ListParagraph"/>
        <w:ind w:left="1152"/>
      </w:pPr>
      <w:r>
        <w:t>This function reads and returns the image stack.</w:t>
      </w:r>
    </w:p>
    <w:p w14:paraId="76A2B7F8" w14:textId="442CE011" w:rsidR="00D96BB3" w:rsidRDefault="00D96BB3" w:rsidP="00B60E76">
      <w:pPr>
        <w:pStyle w:val="ListParagraph"/>
        <w:numPr>
          <w:ilvl w:val="0"/>
          <w:numId w:val="3"/>
        </w:numPr>
      </w:pPr>
      <w:r w:rsidRPr="00D96BB3">
        <w:t>F13_Preprocess</w:t>
      </w:r>
    </w:p>
    <w:p w14:paraId="4CD6A165" w14:textId="3253049F" w:rsidR="00784ECA" w:rsidRDefault="00EB2B2B" w:rsidP="00784ECA">
      <w:pPr>
        <w:pStyle w:val="ListParagraph"/>
        <w:ind w:left="1152"/>
      </w:pPr>
      <w:r>
        <w:t>This function f</w:t>
      </w:r>
      <w:r w:rsidR="00784ECA">
        <w:t>ind</w:t>
      </w:r>
      <w:r>
        <w:t>s</w:t>
      </w:r>
      <w:r w:rsidR="00784ECA">
        <w:t xml:space="preserve"> the background level of the image and remove</w:t>
      </w:r>
      <w:r w:rsidR="002A7DBE">
        <w:t>s</w:t>
      </w:r>
      <w:r w:rsidR="00784ECA">
        <w:t xml:space="preserve"> it from the image</w:t>
      </w:r>
      <w:r w:rsidR="00F41A17">
        <w:t>.</w:t>
      </w:r>
    </w:p>
    <w:p w14:paraId="5FA9B8BA" w14:textId="23F7A006" w:rsidR="00DA64B5" w:rsidRDefault="009940F8" w:rsidP="00B10120">
      <w:pPr>
        <w:pStyle w:val="ListParagraph"/>
        <w:numPr>
          <w:ilvl w:val="0"/>
          <w:numId w:val="3"/>
        </w:numPr>
      </w:pPr>
      <w:r w:rsidRPr="009940F8">
        <w:t>F14_FluoFocusFourierFull</w:t>
      </w:r>
    </w:p>
    <w:p w14:paraId="7397088C" w14:textId="686CD5CD" w:rsidR="00F41A17" w:rsidRDefault="002A7DBE" w:rsidP="00F41A17">
      <w:pPr>
        <w:pStyle w:val="ListParagraph"/>
        <w:ind w:left="1152"/>
      </w:pPr>
      <w:r>
        <w:t>This function f</w:t>
      </w:r>
      <w:r w:rsidR="00F41A17">
        <w:t>ind</w:t>
      </w:r>
      <w:r>
        <w:t>s</w:t>
      </w:r>
      <w:r w:rsidR="00F41A17">
        <w:t xml:space="preserve"> the focal plane of the fluorescence image stack</w:t>
      </w:r>
      <w:r w:rsidR="004D4848">
        <w:t xml:space="preserve"> according to the ratio between the high and low frequency components in </w:t>
      </w:r>
      <w:r w:rsidR="00FA3220">
        <w:t>frequency</w:t>
      </w:r>
      <w:r w:rsidR="004D4848">
        <w:t xml:space="preserve"> </w:t>
      </w:r>
      <w:r w:rsidR="000E7798">
        <w:t>domain.</w:t>
      </w:r>
    </w:p>
    <w:p w14:paraId="288C5598" w14:textId="77777777" w:rsidR="004B5F23" w:rsidRDefault="004B5F23"/>
    <w:p w14:paraId="70391C32" w14:textId="53D54880" w:rsidR="008B41F8" w:rsidRDefault="00127D58" w:rsidP="000744F2">
      <w:pPr>
        <w:pStyle w:val="ListParagraph"/>
        <w:numPr>
          <w:ilvl w:val="0"/>
          <w:numId w:val="1"/>
        </w:numPr>
        <w:rPr>
          <w:b/>
          <w:bCs/>
          <w:sz w:val="28"/>
          <w:szCs w:val="28"/>
        </w:rPr>
      </w:pPr>
      <w:r>
        <w:rPr>
          <w:b/>
          <w:bCs/>
          <w:sz w:val="28"/>
          <w:szCs w:val="28"/>
        </w:rPr>
        <w:t>Format of the data name</w:t>
      </w:r>
    </w:p>
    <w:p w14:paraId="2639A8B8" w14:textId="48406523" w:rsidR="00F51390" w:rsidRPr="00B83562" w:rsidRDefault="00733DB6" w:rsidP="00F51390">
      <w:pPr>
        <w:ind w:left="360" w:firstLine="360"/>
        <w:rPr>
          <w:rFonts w:cstheme="minorHAnsi"/>
        </w:rPr>
      </w:pPr>
      <w:r w:rsidRPr="00B83562">
        <w:rPr>
          <w:rFonts w:cstheme="minorHAnsi"/>
        </w:rPr>
        <w:t xml:space="preserve">The example data that accompany this </w:t>
      </w:r>
      <w:r w:rsidR="00FE371D" w:rsidRPr="00B83562">
        <w:rPr>
          <w:rFonts w:cstheme="minorHAnsi"/>
        </w:rPr>
        <w:t xml:space="preserve">code for the image processing pipeline is available </w:t>
      </w:r>
      <w:r w:rsidR="00992CC3">
        <w:rPr>
          <w:rFonts w:cstheme="minorHAnsi"/>
        </w:rPr>
        <w:t>in the “</w:t>
      </w:r>
      <w:proofErr w:type="spellStart"/>
      <w:r w:rsidR="00992CC3">
        <w:rPr>
          <w:rFonts w:cstheme="minorHAnsi"/>
        </w:rPr>
        <w:t>Example_data</w:t>
      </w:r>
      <w:proofErr w:type="spellEnd"/>
      <w:r w:rsidR="00992CC3">
        <w:rPr>
          <w:rFonts w:cstheme="minorHAnsi"/>
        </w:rPr>
        <w:t xml:space="preserve">” folder </w:t>
      </w:r>
      <w:r w:rsidR="00FE371D" w:rsidRPr="00B83562">
        <w:rPr>
          <w:rFonts w:cstheme="minorHAnsi"/>
        </w:rPr>
        <w:t xml:space="preserve">at </w:t>
      </w:r>
      <w:hyperlink r:id="rId6" w:history="1">
        <w:r w:rsidR="00FE371D" w:rsidRPr="00B83562">
          <w:rPr>
            <w:rStyle w:val="Hyperlink"/>
            <w:rFonts w:cstheme="minorHAnsi"/>
          </w:rPr>
          <w:t>https://doi.org/10.5281/zenodo.14838554</w:t>
        </w:r>
      </w:hyperlink>
      <w:r w:rsidR="00FE371D" w:rsidRPr="00B83562">
        <w:rPr>
          <w:rFonts w:cstheme="minorHAnsi"/>
        </w:rPr>
        <w:t>.</w:t>
      </w:r>
    </w:p>
    <w:p w14:paraId="2CFEAA87" w14:textId="0C1212F4" w:rsidR="00F51390" w:rsidRPr="00B83562" w:rsidRDefault="00F51390" w:rsidP="00F51390">
      <w:pPr>
        <w:ind w:left="360" w:firstLine="360"/>
        <w:rPr>
          <w:rFonts w:cstheme="minorHAnsi"/>
        </w:rPr>
      </w:pPr>
      <w:r w:rsidRPr="00B83562">
        <w:rPr>
          <w:rFonts w:cstheme="minorHAnsi"/>
        </w:rPr>
        <w:t xml:space="preserve">This code also requires </w:t>
      </w:r>
      <w:r w:rsidR="00C33DEC" w:rsidRPr="00B83562">
        <w:rPr>
          <w:rFonts w:cstheme="minorHAnsi"/>
        </w:rPr>
        <w:t xml:space="preserve">a set of self-generated </w:t>
      </w:r>
      <w:r w:rsidRPr="00B83562">
        <w:rPr>
          <w:rFonts w:cstheme="minorHAnsi"/>
        </w:rPr>
        <w:t xml:space="preserve">correction </w:t>
      </w:r>
      <w:r w:rsidR="00C33DEC" w:rsidRPr="00B83562">
        <w:rPr>
          <w:rFonts w:cstheme="minorHAnsi"/>
        </w:rPr>
        <w:t>maps</w:t>
      </w:r>
      <w:r w:rsidRPr="00B83562">
        <w:rPr>
          <w:rFonts w:cstheme="minorHAnsi"/>
        </w:rPr>
        <w:t xml:space="preserve"> </w:t>
      </w:r>
      <w:r w:rsidR="00C33DEC" w:rsidRPr="00B83562">
        <w:rPr>
          <w:rFonts w:cstheme="minorHAnsi"/>
        </w:rPr>
        <w:t>for flat-field correction. The</w:t>
      </w:r>
      <w:r w:rsidR="00C33DEC">
        <w:rPr>
          <w:rFonts w:ascii="Times New Roman" w:hAnsi="Times New Roman" w:cs="Times New Roman"/>
        </w:rPr>
        <w:t xml:space="preserve"> </w:t>
      </w:r>
      <w:r w:rsidR="00C33DEC" w:rsidRPr="00B83562">
        <w:rPr>
          <w:rFonts w:cstheme="minorHAnsi"/>
        </w:rPr>
        <w:t xml:space="preserve">detailed steps are described in the </w:t>
      </w:r>
      <w:r w:rsidR="007F5315" w:rsidRPr="00B83562">
        <w:rPr>
          <w:rFonts w:cstheme="minorHAnsi"/>
        </w:rPr>
        <w:t xml:space="preserve">method section of the manuscript. The example correction map </w:t>
      </w:r>
      <w:r w:rsidR="007F5315" w:rsidRPr="00B83562">
        <w:rPr>
          <w:rFonts w:cstheme="minorHAnsi"/>
        </w:rPr>
        <w:lastRenderedPageBreak/>
        <w:t xml:space="preserve">from our system is provided </w:t>
      </w:r>
      <w:r w:rsidR="00B83562" w:rsidRPr="00B83562">
        <w:rPr>
          <w:rFonts w:cstheme="minorHAnsi"/>
        </w:rPr>
        <w:t>at</w:t>
      </w:r>
      <w:r w:rsidR="00AA1B3A">
        <w:rPr>
          <w:rFonts w:cstheme="minorHAnsi"/>
        </w:rPr>
        <w:t xml:space="preserve"> under “</w:t>
      </w:r>
      <w:proofErr w:type="spellStart"/>
      <w:r w:rsidR="00AA1B3A">
        <w:rPr>
          <w:rFonts w:cstheme="minorHAnsi"/>
        </w:rPr>
        <w:t>Correction_maps</w:t>
      </w:r>
      <w:proofErr w:type="spellEnd"/>
      <w:r w:rsidR="00AA1B3A">
        <w:rPr>
          <w:rFonts w:cstheme="minorHAnsi"/>
        </w:rPr>
        <w:t xml:space="preserve">” folder at </w:t>
      </w:r>
      <w:r w:rsidR="00B83562" w:rsidRPr="00B83562">
        <w:rPr>
          <w:rFonts w:cstheme="minorHAnsi"/>
        </w:rPr>
        <w:t xml:space="preserve"> </w:t>
      </w:r>
      <w:r w:rsidR="00C33DEC" w:rsidRPr="00B83562">
        <w:rPr>
          <w:rFonts w:cstheme="minorHAnsi"/>
        </w:rPr>
        <w:t xml:space="preserve"> </w:t>
      </w:r>
      <w:hyperlink r:id="rId7" w:history="1">
        <w:r w:rsidR="00B83562" w:rsidRPr="00B83562">
          <w:rPr>
            <w:rStyle w:val="Hyperlink"/>
            <w:rFonts w:cstheme="minorHAnsi"/>
          </w:rPr>
          <w:t>https://doi.org/10.5281/zenodo.14838554</w:t>
        </w:r>
      </w:hyperlink>
      <w:r w:rsidR="00B83562" w:rsidRPr="00B83562">
        <w:rPr>
          <w:rFonts w:cstheme="minorHAnsi"/>
        </w:rPr>
        <w:t>.</w:t>
      </w:r>
    </w:p>
    <w:p w14:paraId="7A1B6FCF" w14:textId="4FA8CB01" w:rsidR="00FE41ED" w:rsidRPr="00FE41ED" w:rsidRDefault="00FE41ED" w:rsidP="00FE371D">
      <w:pPr>
        <w:ind w:left="360" w:firstLine="288"/>
      </w:pPr>
      <w:r w:rsidRPr="00FE41ED">
        <w:t xml:space="preserve">The code is designed for multi-layer reconstruction, multi-tile stitching, and multi-cycle registration. To distinguish the images, it is crucial to define the names of the image files using a specific </w:t>
      </w:r>
      <w:proofErr w:type="gramStart"/>
      <w:r w:rsidRPr="00FE41ED">
        <w:t>format: ‘</w:t>
      </w:r>
      <w:proofErr w:type="gramEnd"/>
      <w:r w:rsidRPr="00FE41ED">
        <w:t xml:space="preserve">(predefined </w:t>
      </w:r>
      <w:proofErr w:type="gramStart"/>
      <w:r w:rsidRPr="00FE41ED">
        <w:t>name)_</w:t>
      </w:r>
      <w:proofErr w:type="gramEnd"/>
      <w:r w:rsidRPr="00FE41ED">
        <w:t>Cy+(cycle number)_Ro+(row number)_Co+(column number)_La+(layer number)_Ex+(excitation wavelength)_Em+(emission wavelength)’.</w:t>
      </w:r>
    </w:p>
    <w:p w14:paraId="099D5914" w14:textId="77777777" w:rsidR="00FE41ED" w:rsidRPr="00FE41ED" w:rsidRDefault="00FE41ED" w:rsidP="00FE41ED">
      <w:pPr>
        <w:pStyle w:val="ListParagraph"/>
        <w:ind w:left="360" w:firstLine="288"/>
      </w:pPr>
      <w:r w:rsidRPr="00FE41ED">
        <w:t>For example, the fluorescence image ‘SW480_Cy1_Ro1_Co1_La2_Ex589_Em615.tiff’ has a corresponding bright-field image for phase retrieval named ‘SW480_Cy1_Ro1_Co1_La2_Ex000_Em615.tiff’.</w:t>
      </w:r>
    </w:p>
    <w:p w14:paraId="746F17EC" w14:textId="77777777" w:rsidR="00FE41ED" w:rsidRPr="00FE41ED" w:rsidRDefault="00FE41ED" w:rsidP="00FE41ED">
      <w:pPr>
        <w:pStyle w:val="ListParagraph"/>
        <w:numPr>
          <w:ilvl w:val="0"/>
          <w:numId w:val="12"/>
        </w:numPr>
      </w:pPr>
      <w:r w:rsidRPr="00FE41ED">
        <w:rPr>
          <w:b/>
          <w:bCs/>
        </w:rPr>
        <w:t>For the fluorescence image:</w:t>
      </w:r>
    </w:p>
    <w:p w14:paraId="64F5B9C2" w14:textId="77777777" w:rsidR="00FE41ED" w:rsidRPr="00FE41ED" w:rsidRDefault="00FE41ED" w:rsidP="00FE41ED">
      <w:pPr>
        <w:pStyle w:val="ListParagraph"/>
        <w:numPr>
          <w:ilvl w:val="1"/>
          <w:numId w:val="13"/>
        </w:numPr>
      </w:pPr>
      <w:r w:rsidRPr="00FE41ED">
        <w:t>‘SW480’ is the predefined name, usually describing the experimental target.</w:t>
      </w:r>
    </w:p>
    <w:p w14:paraId="41E43F96" w14:textId="77777777" w:rsidR="00FE41ED" w:rsidRPr="00FE41ED" w:rsidRDefault="00FE41ED" w:rsidP="00FE41ED">
      <w:pPr>
        <w:pStyle w:val="ListParagraph"/>
        <w:numPr>
          <w:ilvl w:val="1"/>
          <w:numId w:val="13"/>
        </w:numPr>
      </w:pPr>
      <w:r w:rsidRPr="00FE41ED">
        <w:t>‘Cy1’ defines the cycle number, indicating the 1st cycle.</w:t>
      </w:r>
    </w:p>
    <w:p w14:paraId="6C683DD9" w14:textId="77777777" w:rsidR="00FE41ED" w:rsidRPr="00FE41ED" w:rsidRDefault="00FE41ED" w:rsidP="00FE41ED">
      <w:pPr>
        <w:pStyle w:val="ListParagraph"/>
        <w:numPr>
          <w:ilvl w:val="1"/>
          <w:numId w:val="13"/>
        </w:numPr>
      </w:pPr>
      <w:r w:rsidRPr="00FE41ED">
        <w:t>‘Ro1_Co1’ defines the tile information, with Ro1 representing the 1st row and Co1 representing the 1st column.</w:t>
      </w:r>
    </w:p>
    <w:p w14:paraId="76199E4C" w14:textId="77777777" w:rsidR="00FE41ED" w:rsidRPr="00FE41ED" w:rsidRDefault="00FE41ED" w:rsidP="00FE41ED">
      <w:pPr>
        <w:pStyle w:val="ListParagraph"/>
        <w:numPr>
          <w:ilvl w:val="1"/>
          <w:numId w:val="13"/>
        </w:numPr>
      </w:pPr>
      <w:r w:rsidRPr="00FE41ED">
        <w:t>‘La2’ defines the layer information, with La2 indicating the 2nd layer.</w:t>
      </w:r>
    </w:p>
    <w:p w14:paraId="4FDABC2D" w14:textId="77777777" w:rsidR="00FE41ED" w:rsidRPr="00FE41ED" w:rsidRDefault="00FE41ED" w:rsidP="00FE41ED">
      <w:pPr>
        <w:pStyle w:val="ListParagraph"/>
        <w:numPr>
          <w:ilvl w:val="1"/>
          <w:numId w:val="13"/>
        </w:numPr>
      </w:pPr>
      <w:r w:rsidRPr="00FE41ED">
        <w:t>‘Ex589_Em615’ defines the excitation and emission wavelengths, with the excitation wavelength being 589 nm and the emission wavelength being 615 nm.</w:t>
      </w:r>
    </w:p>
    <w:p w14:paraId="1571D9D9" w14:textId="77777777" w:rsidR="00FE41ED" w:rsidRPr="00FE41ED" w:rsidRDefault="00FE41ED" w:rsidP="00FE41ED">
      <w:pPr>
        <w:pStyle w:val="ListParagraph"/>
        <w:numPr>
          <w:ilvl w:val="0"/>
          <w:numId w:val="12"/>
        </w:numPr>
      </w:pPr>
      <w:r w:rsidRPr="00FE41ED">
        <w:rPr>
          <w:b/>
          <w:bCs/>
        </w:rPr>
        <w:t>For the bright-field image:</w:t>
      </w:r>
      <w:r w:rsidRPr="00FE41ED">
        <w:t xml:space="preserve"> The only difference between the bright-field image and the corresponding fluorescence image is that the excitation wavelength is set to ‘Ex000’.</w:t>
      </w:r>
    </w:p>
    <w:p w14:paraId="30FA7B11" w14:textId="4DB0BBE7" w:rsidR="00127D58" w:rsidRPr="001D2067" w:rsidRDefault="00127D58" w:rsidP="008B41F8">
      <w:pPr>
        <w:pStyle w:val="ListParagraph"/>
        <w:ind w:left="360"/>
      </w:pPr>
    </w:p>
    <w:p w14:paraId="22401DE3" w14:textId="16ACA72B" w:rsidR="008B41F8" w:rsidRDefault="00DD0546" w:rsidP="00DD0546">
      <w:pPr>
        <w:pStyle w:val="ListParagraph"/>
        <w:numPr>
          <w:ilvl w:val="0"/>
          <w:numId w:val="1"/>
        </w:numPr>
        <w:rPr>
          <w:b/>
          <w:bCs/>
          <w:sz w:val="28"/>
          <w:szCs w:val="28"/>
        </w:rPr>
      </w:pPr>
      <w:r>
        <w:rPr>
          <w:b/>
          <w:bCs/>
          <w:sz w:val="28"/>
          <w:szCs w:val="28"/>
        </w:rPr>
        <w:t>Image reconstruction, multi-tile stitching</w:t>
      </w:r>
    </w:p>
    <w:p w14:paraId="08DD1EC0" w14:textId="77777777" w:rsidR="008F3804" w:rsidRDefault="008F3804" w:rsidP="00DD0546">
      <w:pPr>
        <w:pStyle w:val="ListParagraph"/>
        <w:ind w:left="360" w:firstLine="288"/>
      </w:pPr>
      <w:r w:rsidRPr="008F3804">
        <w:t>Run ‘A01_ReconMain’ to reconstruct fluorescence and quantitative phase images, and stitch multi-tile images into a whole-slide image.</w:t>
      </w:r>
    </w:p>
    <w:p w14:paraId="52F081B4" w14:textId="77777777" w:rsidR="008F3804" w:rsidRDefault="008F3804" w:rsidP="00DD0546">
      <w:pPr>
        <w:pStyle w:val="ListParagraph"/>
        <w:ind w:left="360" w:firstLine="288"/>
      </w:pPr>
      <w:r w:rsidRPr="008F3804">
        <w:t>After running the code, a dialog will pop up, allowing the user to select the data to be reconstructed. The code will automatically estimate the number of channels and tiles based on the information in the data names. It will then apply region-based deconvolution to the fluorescence images and retrieve the quantitative phase images.</w:t>
      </w:r>
    </w:p>
    <w:p w14:paraId="0FA6C4CB" w14:textId="77777777" w:rsidR="008F3804" w:rsidRDefault="008F3804" w:rsidP="00DD0546">
      <w:pPr>
        <w:pStyle w:val="ListParagraph"/>
        <w:ind w:left="360" w:firstLine="288"/>
      </w:pPr>
      <w:r w:rsidRPr="008F3804">
        <w:t>After reconstruction, the multi-tile images in each channel will be stitched together to create a whole-slide fluorescence and phase image.</w:t>
      </w:r>
    </w:p>
    <w:p w14:paraId="125057FF" w14:textId="50560912" w:rsidR="008F3804" w:rsidRPr="00DD0546" w:rsidRDefault="008F3804" w:rsidP="00DD0546">
      <w:pPr>
        <w:pStyle w:val="ListParagraph"/>
        <w:ind w:left="360" w:firstLine="288"/>
      </w:pPr>
      <w:r w:rsidRPr="008F3804">
        <w:t>The overall workflow of image reconstruction and stitching is shown in Fig. 1.</w:t>
      </w:r>
    </w:p>
    <w:p w14:paraId="6558A4A1" w14:textId="4DCD1F7D" w:rsidR="004A1108" w:rsidRDefault="009D23D3" w:rsidP="00001BE5">
      <w:pPr>
        <w:jc w:val="center"/>
        <w:rPr>
          <w:b/>
          <w:bCs/>
          <w:sz w:val="28"/>
          <w:szCs w:val="28"/>
        </w:rPr>
      </w:pPr>
      <w:r>
        <w:rPr>
          <w:b/>
          <w:bCs/>
          <w:noProof/>
          <w:sz w:val="28"/>
          <w:szCs w:val="28"/>
        </w:rPr>
        <w:lastRenderedPageBreak/>
        <w:drawing>
          <wp:inline distT="0" distB="0" distL="0" distR="0" wp14:anchorId="32E93559" wp14:editId="6797804E">
            <wp:extent cx="4076700" cy="4999841"/>
            <wp:effectExtent l="0" t="0" r="0" b="0"/>
            <wp:docPr id="62302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818" cy="5002438"/>
                    </a:xfrm>
                    <a:prstGeom prst="rect">
                      <a:avLst/>
                    </a:prstGeom>
                    <a:noFill/>
                  </pic:spPr>
                </pic:pic>
              </a:graphicData>
            </a:graphic>
          </wp:inline>
        </w:drawing>
      </w:r>
    </w:p>
    <w:p w14:paraId="62D40075" w14:textId="6ACF6C11" w:rsidR="00FA226B" w:rsidRPr="000D2DCC" w:rsidRDefault="00FA226B" w:rsidP="00001BE5">
      <w:pPr>
        <w:jc w:val="center"/>
        <w:rPr>
          <w:b/>
          <w:bCs/>
        </w:rPr>
      </w:pPr>
      <w:r w:rsidRPr="000D2DCC">
        <w:rPr>
          <w:b/>
          <w:bCs/>
        </w:rPr>
        <w:t>Fig</w:t>
      </w:r>
      <w:r w:rsidR="00323257" w:rsidRPr="000D2DCC">
        <w:rPr>
          <w:b/>
          <w:bCs/>
        </w:rPr>
        <w:t xml:space="preserve"> </w:t>
      </w:r>
      <w:r w:rsidR="000D2DCC" w:rsidRPr="000D2DCC">
        <w:rPr>
          <w:rFonts w:hint="eastAsia"/>
          <w:b/>
          <w:bCs/>
        </w:rPr>
        <w:t>1</w:t>
      </w:r>
      <w:r w:rsidRPr="000D2DCC">
        <w:rPr>
          <w:b/>
          <w:bCs/>
        </w:rPr>
        <w:t xml:space="preserve">. Overall workflow of </w:t>
      </w:r>
      <w:r w:rsidR="00D7428C" w:rsidRPr="000D2DCC">
        <w:rPr>
          <w:b/>
          <w:bCs/>
        </w:rPr>
        <w:t>image reconstruction and stitching</w:t>
      </w:r>
    </w:p>
    <w:p w14:paraId="129EAF20" w14:textId="77777777" w:rsidR="006229C7" w:rsidRDefault="006229C7"/>
    <w:p w14:paraId="3E65E11B" w14:textId="7F2FA312" w:rsidR="00E17490" w:rsidRDefault="006229C7" w:rsidP="006A7798">
      <w:pPr>
        <w:pStyle w:val="ListParagraph"/>
        <w:numPr>
          <w:ilvl w:val="0"/>
          <w:numId w:val="1"/>
        </w:numPr>
        <w:rPr>
          <w:b/>
          <w:bCs/>
          <w:sz w:val="28"/>
          <w:szCs w:val="28"/>
        </w:rPr>
      </w:pPr>
      <w:r w:rsidRPr="006229C7">
        <w:rPr>
          <w:b/>
          <w:bCs/>
          <w:sz w:val="28"/>
          <w:szCs w:val="28"/>
        </w:rPr>
        <w:t xml:space="preserve">Multi-cycle </w:t>
      </w:r>
      <w:r w:rsidR="000518B5">
        <w:rPr>
          <w:rFonts w:hint="eastAsia"/>
          <w:b/>
          <w:bCs/>
          <w:sz w:val="28"/>
          <w:szCs w:val="28"/>
        </w:rPr>
        <w:t>alignment</w:t>
      </w:r>
    </w:p>
    <w:p w14:paraId="276371C1" w14:textId="77777777" w:rsidR="00C35CF7" w:rsidRDefault="00C35CF7" w:rsidP="001F40EE">
      <w:pPr>
        <w:pStyle w:val="ListParagraph"/>
        <w:ind w:left="360" w:firstLine="288"/>
      </w:pPr>
      <w:r w:rsidRPr="00C35CF7">
        <w:t>Run ‘A02_Multicycle_Alignment’ to align the images from different cycles. The images from the first cycle are used as references, and all subsequent cycles are registered to the first cycle.</w:t>
      </w:r>
    </w:p>
    <w:p w14:paraId="5D47E9C9" w14:textId="77777777" w:rsidR="00C35CF7" w:rsidRDefault="00C35CF7" w:rsidP="001F40EE">
      <w:pPr>
        <w:pStyle w:val="ListParagraph"/>
        <w:ind w:left="360" w:firstLine="288"/>
      </w:pPr>
      <w:r w:rsidRPr="00C35CF7">
        <w:t>Larger feature numbers may improve registration accuracy but will consume more memory. To balance accuracy and efficiency, we adjust the metric threshold so that the feature number remains between 1,000 and 10,000.</w:t>
      </w:r>
    </w:p>
    <w:p w14:paraId="60A212F9" w14:textId="504E0CA5" w:rsidR="00C35CF7" w:rsidRDefault="00C35CF7" w:rsidP="001F40EE">
      <w:pPr>
        <w:pStyle w:val="ListParagraph"/>
        <w:ind w:left="360" w:firstLine="288"/>
      </w:pPr>
      <w:r w:rsidRPr="00C35CF7">
        <w:t>The workflow for multi-cycle alignment is shown in Fig. 2.</w:t>
      </w:r>
    </w:p>
    <w:p w14:paraId="3B10ED21" w14:textId="77777777" w:rsidR="001F40EE" w:rsidRPr="00EB71F8" w:rsidRDefault="001F40EE" w:rsidP="001F40EE">
      <w:pPr>
        <w:pStyle w:val="ListParagraph"/>
        <w:ind w:left="360"/>
        <w:rPr>
          <w:b/>
          <w:bCs/>
          <w:sz w:val="28"/>
          <w:szCs w:val="28"/>
        </w:rPr>
      </w:pPr>
    </w:p>
    <w:p w14:paraId="7348049E" w14:textId="03192018" w:rsidR="00E17490" w:rsidRDefault="001F40EE" w:rsidP="00463659">
      <w:pPr>
        <w:jc w:val="center"/>
      </w:pPr>
      <w:r>
        <w:rPr>
          <w:noProof/>
        </w:rPr>
        <w:lastRenderedPageBreak/>
        <w:drawing>
          <wp:inline distT="0" distB="0" distL="0" distR="0" wp14:anchorId="2F0A66EC" wp14:editId="6ADCBFF5">
            <wp:extent cx="3733800" cy="4556018"/>
            <wp:effectExtent l="0" t="0" r="0" b="0"/>
            <wp:docPr id="193766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5273" cy="4557815"/>
                    </a:xfrm>
                    <a:prstGeom prst="rect">
                      <a:avLst/>
                    </a:prstGeom>
                    <a:noFill/>
                  </pic:spPr>
                </pic:pic>
              </a:graphicData>
            </a:graphic>
          </wp:inline>
        </w:drawing>
      </w:r>
    </w:p>
    <w:p w14:paraId="4CECA8E3" w14:textId="02C6B604" w:rsidR="00463659" w:rsidRPr="00CE3F68" w:rsidRDefault="00463659" w:rsidP="00463659">
      <w:pPr>
        <w:jc w:val="center"/>
        <w:rPr>
          <w:b/>
          <w:bCs/>
        </w:rPr>
      </w:pPr>
      <w:r w:rsidRPr="00CE3F68">
        <w:rPr>
          <w:b/>
          <w:bCs/>
        </w:rPr>
        <w:t>Fig</w:t>
      </w:r>
      <w:r w:rsidR="00323257" w:rsidRPr="00CE3F68">
        <w:rPr>
          <w:b/>
          <w:bCs/>
        </w:rPr>
        <w:t xml:space="preserve"> </w:t>
      </w:r>
      <w:r w:rsidR="00CE3F68" w:rsidRPr="00CE3F68">
        <w:rPr>
          <w:rFonts w:hint="eastAsia"/>
          <w:b/>
          <w:bCs/>
        </w:rPr>
        <w:t>2</w:t>
      </w:r>
      <w:r w:rsidRPr="00CE3F68">
        <w:rPr>
          <w:b/>
          <w:bCs/>
        </w:rPr>
        <w:t>. Workflow of multi-</w:t>
      </w:r>
      <w:r w:rsidR="00CE3F68" w:rsidRPr="00CE3F68">
        <w:rPr>
          <w:rFonts w:hint="eastAsia"/>
          <w:b/>
          <w:bCs/>
        </w:rPr>
        <w:t>cycle</w:t>
      </w:r>
      <w:r w:rsidRPr="00CE3F68">
        <w:rPr>
          <w:b/>
          <w:bCs/>
        </w:rPr>
        <w:t xml:space="preserve"> </w:t>
      </w:r>
      <w:r w:rsidR="00CE3F68" w:rsidRPr="00CE3F68">
        <w:rPr>
          <w:b/>
          <w:bCs/>
        </w:rPr>
        <w:t>registration</w:t>
      </w:r>
    </w:p>
    <w:p w14:paraId="3E6175EB" w14:textId="77777777" w:rsidR="00591991" w:rsidRDefault="00591991" w:rsidP="006A7798"/>
    <w:p w14:paraId="051AB18E" w14:textId="1209A898" w:rsidR="006229C7" w:rsidRDefault="00133257" w:rsidP="006229C7">
      <w:pPr>
        <w:pStyle w:val="ListParagraph"/>
        <w:numPr>
          <w:ilvl w:val="0"/>
          <w:numId w:val="1"/>
        </w:numPr>
        <w:rPr>
          <w:b/>
          <w:bCs/>
          <w:sz w:val="28"/>
          <w:szCs w:val="28"/>
        </w:rPr>
      </w:pPr>
      <w:r>
        <w:rPr>
          <w:rFonts w:hint="eastAsia"/>
          <w:b/>
          <w:bCs/>
          <w:sz w:val="28"/>
          <w:szCs w:val="28"/>
        </w:rPr>
        <w:t>Multi-model</w:t>
      </w:r>
      <w:r w:rsidR="006229C7" w:rsidRPr="006229C7">
        <w:rPr>
          <w:b/>
          <w:bCs/>
          <w:sz w:val="28"/>
          <w:szCs w:val="28"/>
        </w:rPr>
        <w:t xml:space="preserve"> registration</w:t>
      </w:r>
    </w:p>
    <w:p w14:paraId="0D14199A" w14:textId="77777777" w:rsidR="00EB3790" w:rsidRDefault="00EB3790" w:rsidP="00EB3790">
      <w:pPr>
        <w:pStyle w:val="ListParagraph"/>
        <w:ind w:left="360" w:firstLine="288"/>
      </w:pPr>
      <w:r w:rsidRPr="00EB3790">
        <w:t>Run ‘A03_Multimodel_Registration’ to align images from different models.</w:t>
      </w:r>
    </w:p>
    <w:p w14:paraId="58DDEE8E" w14:textId="77777777" w:rsidR="00EB3790" w:rsidRDefault="00EB3790" w:rsidP="00EB3790">
      <w:pPr>
        <w:pStyle w:val="ListParagraph"/>
        <w:ind w:left="360" w:firstLine="288"/>
      </w:pPr>
      <w:r w:rsidRPr="00EB3790">
        <w:t>To improve registration speed, rotate the fluorescence image so that its orientation matches that of the H&amp;E image.</w:t>
      </w:r>
    </w:p>
    <w:p w14:paraId="4244F0BC" w14:textId="0BABCCD6" w:rsidR="00EB3790" w:rsidRPr="00EB3790" w:rsidRDefault="00EB3790" w:rsidP="00EB3790">
      <w:pPr>
        <w:pStyle w:val="ListParagraph"/>
        <w:ind w:left="360" w:firstLine="288"/>
      </w:pPr>
      <w:r w:rsidRPr="00EB3790">
        <w:t>The workflow for multi-model registration is shown in Fig. 3.</w:t>
      </w:r>
    </w:p>
    <w:p w14:paraId="4E172D83" w14:textId="77777777" w:rsidR="00EB3790" w:rsidRPr="00757F1F" w:rsidRDefault="00EB3790" w:rsidP="00757F1F">
      <w:pPr>
        <w:pStyle w:val="ListParagraph"/>
        <w:ind w:left="360" w:firstLine="288"/>
      </w:pPr>
    </w:p>
    <w:p w14:paraId="7C1BF01F" w14:textId="5E2BD3D5" w:rsidR="004B5F23" w:rsidRDefault="00757F1F" w:rsidP="00045C12">
      <w:pPr>
        <w:jc w:val="center"/>
      </w:pPr>
      <w:r>
        <w:rPr>
          <w:noProof/>
        </w:rPr>
        <w:lastRenderedPageBreak/>
        <w:drawing>
          <wp:inline distT="0" distB="0" distL="0" distR="0" wp14:anchorId="3AFB4983" wp14:editId="6ACD39B5">
            <wp:extent cx="1914525" cy="3139440"/>
            <wp:effectExtent l="0" t="0" r="9525" b="3810"/>
            <wp:docPr id="1512658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3139440"/>
                    </a:xfrm>
                    <a:prstGeom prst="rect">
                      <a:avLst/>
                    </a:prstGeom>
                    <a:noFill/>
                  </pic:spPr>
                </pic:pic>
              </a:graphicData>
            </a:graphic>
          </wp:inline>
        </w:drawing>
      </w:r>
    </w:p>
    <w:p w14:paraId="384244E2" w14:textId="76434037" w:rsidR="00045C12" w:rsidRPr="00F72AFD" w:rsidRDefault="00045C12" w:rsidP="00045C12">
      <w:pPr>
        <w:jc w:val="center"/>
        <w:rPr>
          <w:b/>
          <w:bCs/>
        </w:rPr>
      </w:pPr>
      <w:r w:rsidRPr="00F72AFD">
        <w:rPr>
          <w:b/>
          <w:bCs/>
        </w:rPr>
        <w:t>Fig</w:t>
      </w:r>
      <w:r w:rsidR="00323257" w:rsidRPr="00F72AFD">
        <w:rPr>
          <w:b/>
          <w:bCs/>
        </w:rPr>
        <w:t xml:space="preserve"> </w:t>
      </w:r>
      <w:r w:rsidR="00912C86" w:rsidRPr="00F72AFD">
        <w:rPr>
          <w:rFonts w:hint="eastAsia"/>
          <w:b/>
          <w:bCs/>
        </w:rPr>
        <w:t>3</w:t>
      </w:r>
      <w:r w:rsidRPr="00F72AFD">
        <w:rPr>
          <w:b/>
          <w:bCs/>
        </w:rPr>
        <w:t xml:space="preserve">. Workflow of </w:t>
      </w:r>
      <w:r w:rsidR="00912C86" w:rsidRPr="00F72AFD">
        <w:rPr>
          <w:rFonts w:hint="eastAsia"/>
          <w:b/>
          <w:bCs/>
        </w:rPr>
        <w:t>multi-model</w:t>
      </w:r>
      <w:r w:rsidRPr="00F72AFD">
        <w:rPr>
          <w:b/>
          <w:bCs/>
        </w:rPr>
        <w:t xml:space="preserve"> registration</w:t>
      </w:r>
    </w:p>
    <w:p w14:paraId="0669B5D9" w14:textId="77777777" w:rsidR="00A579D5" w:rsidRDefault="00A579D5" w:rsidP="00CF4415">
      <w:pPr>
        <w:pStyle w:val="ListParagraph"/>
        <w:ind w:left="1152"/>
      </w:pPr>
    </w:p>
    <w:p w14:paraId="5D5A2418" w14:textId="77777777" w:rsidR="00C213FE" w:rsidRDefault="00C213FE" w:rsidP="00C213FE"/>
    <w:p w14:paraId="19DC309A" w14:textId="2F4131CC" w:rsidR="00C213FE" w:rsidRPr="00C213FE" w:rsidRDefault="00C213FE" w:rsidP="00C213FE">
      <w:pPr>
        <w:tabs>
          <w:tab w:val="left" w:pos="2944"/>
        </w:tabs>
      </w:pPr>
      <w:r>
        <w:tab/>
      </w:r>
    </w:p>
    <w:sectPr w:rsidR="00C213FE" w:rsidRPr="00C2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F1973"/>
    <w:multiLevelType w:val="hybridMultilevel"/>
    <w:tmpl w:val="05B4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02C80"/>
    <w:multiLevelType w:val="multilevel"/>
    <w:tmpl w:val="D7EE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216B4"/>
    <w:multiLevelType w:val="hybridMultilevel"/>
    <w:tmpl w:val="465228A2"/>
    <w:lvl w:ilvl="0" w:tplc="E4D43930">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38BE07CD"/>
    <w:multiLevelType w:val="hybridMultilevel"/>
    <w:tmpl w:val="465228A2"/>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4" w15:restartNumberingAfterBreak="0">
    <w:nsid w:val="4B861D8F"/>
    <w:multiLevelType w:val="hybridMultilevel"/>
    <w:tmpl w:val="465228A2"/>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5" w15:restartNumberingAfterBreak="0">
    <w:nsid w:val="4D4E732D"/>
    <w:multiLevelType w:val="hybridMultilevel"/>
    <w:tmpl w:val="465228A2"/>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6" w15:restartNumberingAfterBreak="0">
    <w:nsid w:val="4F581FBB"/>
    <w:multiLevelType w:val="hybridMultilevel"/>
    <w:tmpl w:val="465228A2"/>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7" w15:restartNumberingAfterBreak="0">
    <w:nsid w:val="5C7F49BF"/>
    <w:multiLevelType w:val="hybridMultilevel"/>
    <w:tmpl w:val="33F001D8"/>
    <w:lvl w:ilvl="0" w:tplc="EA36D19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2C322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A0423"/>
    <w:multiLevelType w:val="multilevel"/>
    <w:tmpl w:val="4EA20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64C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9C282A"/>
    <w:multiLevelType w:val="hybridMultilevel"/>
    <w:tmpl w:val="465228A2"/>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2" w15:restartNumberingAfterBreak="0">
    <w:nsid w:val="7DE8752C"/>
    <w:multiLevelType w:val="hybridMultilevel"/>
    <w:tmpl w:val="465228A2"/>
    <w:lvl w:ilvl="0" w:tplc="FFFFFFFF">
      <w:start w:val="1"/>
      <w:numFmt w:val="lowerLetter"/>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317152988">
    <w:abstractNumId w:val="8"/>
  </w:num>
  <w:num w:numId="2" w16cid:durableId="1506476090">
    <w:abstractNumId w:val="2"/>
  </w:num>
  <w:num w:numId="3" w16cid:durableId="60376514">
    <w:abstractNumId w:val="7"/>
  </w:num>
  <w:num w:numId="4" w16cid:durableId="788470261">
    <w:abstractNumId w:val="10"/>
  </w:num>
  <w:num w:numId="5" w16cid:durableId="1602763803">
    <w:abstractNumId w:val="12"/>
  </w:num>
  <w:num w:numId="6" w16cid:durableId="307830642">
    <w:abstractNumId w:val="11"/>
  </w:num>
  <w:num w:numId="7" w16cid:durableId="1912232223">
    <w:abstractNumId w:val="6"/>
  </w:num>
  <w:num w:numId="8" w16cid:durableId="780346970">
    <w:abstractNumId w:val="4"/>
  </w:num>
  <w:num w:numId="9" w16cid:durableId="1283803165">
    <w:abstractNumId w:val="5"/>
  </w:num>
  <w:num w:numId="10" w16cid:durableId="2062055460">
    <w:abstractNumId w:val="3"/>
  </w:num>
  <w:num w:numId="11" w16cid:durableId="1003825157">
    <w:abstractNumId w:val="0"/>
  </w:num>
  <w:num w:numId="12" w16cid:durableId="515115621">
    <w:abstractNumId w:val="1"/>
  </w:num>
  <w:num w:numId="13" w16cid:durableId="1744838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B1"/>
    <w:rsid w:val="000019F1"/>
    <w:rsid w:val="00001BE5"/>
    <w:rsid w:val="00006688"/>
    <w:rsid w:val="000076A4"/>
    <w:rsid w:val="00033110"/>
    <w:rsid w:val="00045C12"/>
    <w:rsid w:val="00047F58"/>
    <w:rsid w:val="000518B5"/>
    <w:rsid w:val="00053FA8"/>
    <w:rsid w:val="00060139"/>
    <w:rsid w:val="00071C91"/>
    <w:rsid w:val="00071E63"/>
    <w:rsid w:val="000744F2"/>
    <w:rsid w:val="0007755E"/>
    <w:rsid w:val="00081782"/>
    <w:rsid w:val="000857D3"/>
    <w:rsid w:val="00097923"/>
    <w:rsid w:val="000A219C"/>
    <w:rsid w:val="000A55CF"/>
    <w:rsid w:val="000C0DBE"/>
    <w:rsid w:val="000C50DE"/>
    <w:rsid w:val="000D2DCC"/>
    <w:rsid w:val="000D61C6"/>
    <w:rsid w:val="000E2AC4"/>
    <w:rsid w:val="000E7798"/>
    <w:rsid w:val="000F35E1"/>
    <w:rsid w:val="000F40E9"/>
    <w:rsid w:val="001168C1"/>
    <w:rsid w:val="00125DBA"/>
    <w:rsid w:val="0012638C"/>
    <w:rsid w:val="00127D58"/>
    <w:rsid w:val="00133257"/>
    <w:rsid w:val="001449E6"/>
    <w:rsid w:val="00156922"/>
    <w:rsid w:val="00180D86"/>
    <w:rsid w:val="0018567A"/>
    <w:rsid w:val="001942C6"/>
    <w:rsid w:val="001B743B"/>
    <w:rsid w:val="001B7B1F"/>
    <w:rsid w:val="001D2067"/>
    <w:rsid w:val="001F40EE"/>
    <w:rsid w:val="00211A1F"/>
    <w:rsid w:val="002125D5"/>
    <w:rsid w:val="00215979"/>
    <w:rsid w:val="002214AB"/>
    <w:rsid w:val="002456A5"/>
    <w:rsid w:val="002456E3"/>
    <w:rsid w:val="0026018E"/>
    <w:rsid w:val="002A69AA"/>
    <w:rsid w:val="002A7DBE"/>
    <w:rsid w:val="002C5172"/>
    <w:rsid w:val="002D69B9"/>
    <w:rsid w:val="002E0FB5"/>
    <w:rsid w:val="002F13F1"/>
    <w:rsid w:val="002F2B18"/>
    <w:rsid w:val="002F3996"/>
    <w:rsid w:val="003079DF"/>
    <w:rsid w:val="003147A7"/>
    <w:rsid w:val="003173D2"/>
    <w:rsid w:val="003175C4"/>
    <w:rsid w:val="00323257"/>
    <w:rsid w:val="00324A3E"/>
    <w:rsid w:val="0034291D"/>
    <w:rsid w:val="003976B7"/>
    <w:rsid w:val="003A57B9"/>
    <w:rsid w:val="003C372D"/>
    <w:rsid w:val="00401DD6"/>
    <w:rsid w:val="00414D5A"/>
    <w:rsid w:val="0042396E"/>
    <w:rsid w:val="00434225"/>
    <w:rsid w:val="0043553F"/>
    <w:rsid w:val="00436401"/>
    <w:rsid w:val="00436672"/>
    <w:rsid w:val="004605E2"/>
    <w:rsid w:val="00463659"/>
    <w:rsid w:val="004844A9"/>
    <w:rsid w:val="00496CA2"/>
    <w:rsid w:val="004A1108"/>
    <w:rsid w:val="004A2587"/>
    <w:rsid w:val="004B5F23"/>
    <w:rsid w:val="004C6894"/>
    <w:rsid w:val="004D4848"/>
    <w:rsid w:val="004D79A0"/>
    <w:rsid w:val="004F4C2D"/>
    <w:rsid w:val="0050364D"/>
    <w:rsid w:val="00510D05"/>
    <w:rsid w:val="00512A3F"/>
    <w:rsid w:val="00517B25"/>
    <w:rsid w:val="00550E86"/>
    <w:rsid w:val="00586846"/>
    <w:rsid w:val="005869B3"/>
    <w:rsid w:val="00591991"/>
    <w:rsid w:val="00592738"/>
    <w:rsid w:val="00595B9D"/>
    <w:rsid w:val="005961E7"/>
    <w:rsid w:val="005A0302"/>
    <w:rsid w:val="005A053F"/>
    <w:rsid w:val="005A0EFC"/>
    <w:rsid w:val="005A431F"/>
    <w:rsid w:val="005B1C0C"/>
    <w:rsid w:val="005B436E"/>
    <w:rsid w:val="005B7693"/>
    <w:rsid w:val="005C58D2"/>
    <w:rsid w:val="005D251B"/>
    <w:rsid w:val="00600853"/>
    <w:rsid w:val="006229C7"/>
    <w:rsid w:val="00643C16"/>
    <w:rsid w:val="00644B6C"/>
    <w:rsid w:val="0065117A"/>
    <w:rsid w:val="0065616B"/>
    <w:rsid w:val="00660312"/>
    <w:rsid w:val="006927E5"/>
    <w:rsid w:val="006A7798"/>
    <w:rsid w:val="006B08A9"/>
    <w:rsid w:val="006E2567"/>
    <w:rsid w:val="006E4DDB"/>
    <w:rsid w:val="006F4598"/>
    <w:rsid w:val="007027D1"/>
    <w:rsid w:val="00704D13"/>
    <w:rsid w:val="00711F79"/>
    <w:rsid w:val="007247B5"/>
    <w:rsid w:val="007275CA"/>
    <w:rsid w:val="007308C9"/>
    <w:rsid w:val="00733DB6"/>
    <w:rsid w:val="00741F52"/>
    <w:rsid w:val="00757F1F"/>
    <w:rsid w:val="0077215C"/>
    <w:rsid w:val="00784ECA"/>
    <w:rsid w:val="0078509E"/>
    <w:rsid w:val="00795048"/>
    <w:rsid w:val="007B6B34"/>
    <w:rsid w:val="007C18B4"/>
    <w:rsid w:val="007F5315"/>
    <w:rsid w:val="007F605F"/>
    <w:rsid w:val="007F698E"/>
    <w:rsid w:val="007F7379"/>
    <w:rsid w:val="00802263"/>
    <w:rsid w:val="00813595"/>
    <w:rsid w:val="008207A3"/>
    <w:rsid w:val="008255AD"/>
    <w:rsid w:val="00831A29"/>
    <w:rsid w:val="00833FA4"/>
    <w:rsid w:val="00846BB6"/>
    <w:rsid w:val="00850976"/>
    <w:rsid w:val="00864953"/>
    <w:rsid w:val="00870437"/>
    <w:rsid w:val="00871D9C"/>
    <w:rsid w:val="00883DF0"/>
    <w:rsid w:val="00883FA7"/>
    <w:rsid w:val="008A125F"/>
    <w:rsid w:val="008A1D4B"/>
    <w:rsid w:val="008A2430"/>
    <w:rsid w:val="008B41F8"/>
    <w:rsid w:val="008B72EE"/>
    <w:rsid w:val="008C5631"/>
    <w:rsid w:val="008D00A2"/>
    <w:rsid w:val="008F3804"/>
    <w:rsid w:val="009037CF"/>
    <w:rsid w:val="00904ADC"/>
    <w:rsid w:val="00912C86"/>
    <w:rsid w:val="00917425"/>
    <w:rsid w:val="0097308A"/>
    <w:rsid w:val="009852A4"/>
    <w:rsid w:val="00992CC3"/>
    <w:rsid w:val="009940F8"/>
    <w:rsid w:val="00996345"/>
    <w:rsid w:val="009A1FEE"/>
    <w:rsid w:val="009A25C8"/>
    <w:rsid w:val="009C7543"/>
    <w:rsid w:val="009D22EE"/>
    <w:rsid w:val="009D23D3"/>
    <w:rsid w:val="009E0034"/>
    <w:rsid w:val="009E4D4C"/>
    <w:rsid w:val="009F17D7"/>
    <w:rsid w:val="009F34C2"/>
    <w:rsid w:val="009F4DA9"/>
    <w:rsid w:val="00A016EC"/>
    <w:rsid w:val="00A175B9"/>
    <w:rsid w:val="00A2047A"/>
    <w:rsid w:val="00A21E00"/>
    <w:rsid w:val="00A31623"/>
    <w:rsid w:val="00A32B27"/>
    <w:rsid w:val="00A33720"/>
    <w:rsid w:val="00A440DC"/>
    <w:rsid w:val="00A46D20"/>
    <w:rsid w:val="00A478A7"/>
    <w:rsid w:val="00A52A3C"/>
    <w:rsid w:val="00A531B1"/>
    <w:rsid w:val="00A579D5"/>
    <w:rsid w:val="00A7717D"/>
    <w:rsid w:val="00AA1B3A"/>
    <w:rsid w:val="00AA46A6"/>
    <w:rsid w:val="00AC19CD"/>
    <w:rsid w:val="00AC45AB"/>
    <w:rsid w:val="00AD007C"/>
    <w:rsid w:val="00AD1893"/>
    <w:rsid w:val="00AE1982"/>
    <w:rsid w:val="00B10120"/>
    <w:rsid w:val="00B10237"/>
    <w:rsid w:val="00B172B9"/>
    <w:rsid w:val="00B230F3"/>
    <w:rsid w:val="00B239B5"/>
    <w:rsid w:val="00B33684"/>
    <w:rsid w:val="00B54B46"/>
    <w:rsid w:val="00B60E76"/>
    <w:rsid w:val="00B83562"/>
    <w:rsid w:val="00B964F3"/>
    <w:rsid w:val="00BA19E5"/>
    <w:rsid w:val="00BC1040"/>
    <w:rsid w:val="00BC11BB"/>
    <w:rsid w:val="00BD439E"/>
    <w:rsid w:val="00C0578E"/>
    <w:rsid w:val="00C213FE"/>
    <w:rsid w:val="00C33DEC"/>
    <w:rsid w:val="00C35CF7"/>
    <w:rsid w:val="00C371F1"/>
    <w:rsid w:val="00C542E5"/>
    <w:rsid w:val="00C64CEC"/>
    <w:rsid w:val="00C66E71"/>
    <w:rsid w:val="00C754DA"/>
    <w:rsid w:val="00C804B5"/>
    <w:rsid w:val="00C84804"/>
    <w:rsid w:val="00C848A0"/>
    <w:rsid w:val="00C97DD5"/>
    <w:rsid w:val="00CB452F"/>
    <w:rsid w:val="00CC3FA1"/>
    <w:rsid w:val="00CE3F68"/>
    <w:rsid w:val="00CF4415"/>
    <w:rsid w:val="00CF69DF"/>
    <w:rsid w:val="00D02225"/>
    <w:rsid w:val="00D03F08"/>
    <w:rsid w:val="00D11C1F"/>
    <w:rsid w:val="00D16E78"/>
    <w:rsid w:val="00D44966"/>
    <w:rsid w:val="00D45E8F"/>
    <w:rsid w:val="00D5204A"/>
    <w:rsid w:val="00D70AED"/>
    <w:rsid w:val="00D7428C"/>
    <w:rsid w:val="00D82373"/>
    <w:rsid w:val="00D8539E"/>
    <w:rsid w:val="00D87791"/>
    <w:rsid w:val="00D96BB3"/>
    <w:rsid w:val="00DA64B5"/>
    <w:rsid w:val="00DB0430"/>
    <w:rsid w:val="00DB667E"/>
    <w:rsid w:val="00DD0546"/>
    <w:rsid w:val="00DD7753"/>
    <w:rsid w:val="00E00C10"/>
    <w:rsid w:val="00E01546"/>
    <w:rsid w:val="00E03AEF"/>
    <w:rsid w:val="00E11393"/>
    <w:rsid w:val="00E17490"/>
    <w:rsid w:val="00E31017"/>
    <w:rsid w:val="00E41003"/>
    <w:rsid w:val="00E8164A"/>
    <w:rsid w:val="00E86B40"/>
    <w:rsid w:val="00E91765"/>
    <w:rsid w:val="00EB2B2B"/>
    <w:rsid w:val="00EB3790"/>
    <w:rsid w:val="00EB623A"/>
    <w:rsid w:val="00EB71F8"/>
    <w:rsid w:val="00EF4243"/>
    <w:rsid w:val="00F1629E"/>
    <w:rsid w:val="00F41A17"/>
    <w:rsid w:val="00F51390"/>
    <w:rsid w:val="00F70B81"/>
    <w:rsid w:val="00F72AFD"/>
    <w:rsid w:val="00F75CB8"/>
    <w:rsid w:val="00F961A3"/>
    <w:rsid w:val="00FA226B"/>
    <w:rsid w:val="00FA3220"/>
    <w:rsid w:val="00FC66B4"/>
    <w:rsid w:val="00FD3784"/>
    <w:rsid w:val="00FE371D"/>
    <w:rsid w:val="00FE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47D4"/>
  <w15:chartTrackingRefBased/>
  <w15:docId w15:val="{D51291C0-45D4-4121-A6BD-871A4305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B5"/>
    <w:pPr>
      <w:ind w:left="720"/>
      <w:contextualSpacing/>
    </w:pPr>
  </w:style>
  <w:style w:type="table" w:styleId="TableGrid">
    <w:name w:val="Table Grid"/>
    <w:basedOn w:val="TableNormal"/>
    <w:uiPriority w:val="39"/>
    <w:rsid w:val="00342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71D"/>
    <w:rPr>
      <w:color w:val="0563C1" w:themeColor="hyperlink"/>
      <w:u w:val="single"/>
    </w:rPr>
  </w:style>
  <w:style w:type="character" w:styleId="UnresolvedMention">
    <w:name w:val="Unresolved Mention"/>
    <w:basedOn w:val="DefaultParagraphFont"/>
    <w:uiPriority w:val="99"/>
    <w:semiHidden/>
    <w:unhideWhenUsed/>
    <w:rsid w:val="00FE3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2647">
      <w:bodyDiv w:val="1"/>
      <w:marLeft w:val="0"/>
      <w:marRight w:val="0"/>
      <w:marTop w:val="0"/>
      <w:marBottom w:val="0"/>
      <w:divBdr>
        <w:top w:val="none" w:sz="0" w:space="0" w:color="auto"/>
        <w:left w:val="none" w:sz="0" w:space="0" w:color="auto"/>
        <w:bottom w:val="none" w:sz="0" w:space="0" w:color="auto"/>
        <w:right w:val="none" w:sz="0" w:space="0" w:color="auto"/>
      </w:divBdr>
      <w:divsChild>
        <w:div w:id="653069450">
          <w:marLeft w:val="0"/>
          <w:marRight w:val="0"/>
          <w:marTop w:val="0"/>
          <w:marBottom w:val="0"/>
          <w:divBdr>
            <w:top w:val="none" w:sz="0" w:space="0" w:color="auto"/>
            <w:left w:val="none" w:sz="0" w:space="0" w:color="auto"/>
            <w:bottom w:val="none" w:sz="0" w:space="0" w:color="auto"/>
            <w:right w:val="none" w:sz="0" w:space="0" w:color="auto"/>
          </w:divBdr>
          <w:divsChild>
            <w:div w:id="49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086">
      <w:bodyDiv w:val="1"/>
      <w:marLeft w:val="0"/>
      <w:marRight w:val="0"/>
      <w:marTop w:val="0"/>
      <w:marBottom w:val="0"/>
      <w:divBdr>
        <w:top w:val="none" w:sz="0" w:space="0" w:color="auto"/>
        <w:left w:val="none" w:sz="0" w:space="0" w:color="auto"/>
        <w:bottom w:val="none" w:sz="0" w:space="0" w:color="auto"/>
        <w:right w:val="none" w:sz="0" w:space="0" w:color="auto"/>
      </w:divBdr>
      <w:divsChild>
        <w:div w:id="843085780">
          <w:marLeft w:val="0"/>
          <w:marRight w:val="0"/>
          <w:marTop w:val="0"/>
          <w:marBottom w:val="0"/>
          <w:divBdr>
            <w:top w:val="none" w:sz="0" w:space="0" w:color="auto"/>
            <w:left w:val="none" w:sz="0" w:space="0" w:color="auto"/>
            <w:bottom w:val="none" w:sz="0" w:space="0" w:color="auto"/>
            <w:right w:val="none" w:sz="0" w:space="0" w:color="auto"/>
          </w:divBdr>
          <w:divsChild>
            <w:div w:id="12279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2178">
      <w:bodyDiv w:val="1"/>
      <w:marLeft w:val="0"/>
      <w:marRight w:val="0"/>
      <w:marTop w:val="0"/>
      <w:marBottom w:val="0"/>
      <w:divBdr>
        <w:top w:val="none" w:sz="0" w:space="0" w:color="auto"/>
        <w:left w:val="none" w:sz="0" w:space="0" w:color="auto"/>
        <w:bottom w:val="none" w:sz="0" w:space="0" w:color="auto"/>
        <w:right w:val="none" w:sz="0" w:space="0" w:color="auto"/>
      </w:divBdr>
    </w:div>
    <w:div w:id="1144352931">
      <w:bodyDiv w:val="1"/>
      <w:marLeft w:val="0"/>
      <w:marRight w:val="0"/>
      <w:marTop w:val="0"/>
      <w:marBottom w:val="0"/>
      <w:divBdr>
        <w:top w:val="none" w:sz="0" w:space="0" w:color="auto"/>
        <w:left w:val="none" w:sz="0" w:space="0" w:color="auto"/>
        <w:bottom w:val="none" w:sz="0" w:space="0" w:color="auto"/>
        <w:right w:val="none" w:sz="0" w:space="0" w:color="auto"/>
      </w:divBdr>
    </w:div>
    <w:div w:id="1500346526">
      <w:bodyDiv w:val="1"/>
      <w:marLeft w:val="0"/>
      <w:marRight w:val="0"/>
      <w:marTop w:val="0"/>
      <w:marBottom w:val="0"/>
      <w:divBdr>
        <w:top w:val="none" w:sz="0" w:space="0" w:color="auto"/>
        <w:left w:val="none" w:sz="0" w:space="0" w:color="auto"/>
        <w:bottom w:val="none" w:sz="0" w:space="0" w:color="auto"/>
        <w:right w:val="none" w:sz="0" w:space="0" w:color="auto"/>
      </w:divBdr>
    </w:div>
    <w:div w:id="19396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i.org/10.5281/zenodo.1483855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5281/zenodo.1483855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0CC7F-3118-47AF-9783-A6C7941D84EC}">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3815</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Maomao</dc:creator>
  <cp:keywords/>
  <dc:description/>
  <cp:lastModifiedBy>Liu, Yang</cp:lastModifiedBy>
  <cp:revision>273</cp:revision>
  <dcterms:created xsi:type="dcterms:W3CDTF">2023-10-24T17:14:00Z</dcterms:created>
  <dcterms:modified xsi:type="dcterms:W3CDTF">2025-02-16T17:23:00Z</dcterms:modified>
</cp:coreProperties>
</file>