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214" w:right="1874" w:firstLine="0"/>
        <w:jc w:val="center"/>
        <w:rPr>
          <w:sz w:val="20"/>
          <w:rFonts w:hint="eastAsia"/>
        </w:rPr>
      </w:pPr>
      <w:r>
        <w:rPr>
          <w:sz w:val="20"/>
          <w:rFonts w:hint="eastAsia"/>
        </w:rPr>
        <w:t xml:space="preserve">2022年万物人工智能国际会议(AIE)</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0"/>
        <w:jc w:val="left"/>
        <w:rPr>
          <w:sz w:val="26"/>
        </w:rPr>
      </w:pPr>
    </w:p>
    <w:p>
      <w:pPr>
        <w:pStyle w:val="Title"/>
        <w:spacing w:line="364" w:lineRule="auto"/>
        <w:rPr>
          <w:rFonts w:hint="eastAsia"/>
        </w:rPr>
      </w:pPr>
      <w:r>
        <w:rPr>
          <w:rFonts w:hint="eastAsia"/>
        </w:rPr>
        <w:t xml:space="preserve">边缘计算安全的人工智能:</w:t>
      </w:r>
      <w:r>
        <w:rPr>
          <w:rFonts w:hint="eastAsia"/>
        </w:rPr>
        <w:t xml:space="preserve"> </w:t>
      </w:r>
      <w:r>
        <w:rPr>
          <w:rFonts w:hint="eastAsia"/>
        </w:rPr>
        <w:t xml:space="preserve">一项调查显示</w:t>
      </w:r>
    </w:p>
    <w:p>
      <w:pPr>
        <w:spacing w:line="249" w:lineRule="auto" w:before="110"/>
        <w:ind w:left="4604" w:right="3842" w:firstLine="0"/>
        <w:jc w:val="center"/>
        <w:rPr>
          <w:i/>
          <w:sz w:val="18"/>
          <w:rFonts w:hint="eastAsia"/>
        </w:rPr>
      </w:pPr>
      <w:r>
        <w:rPr>
          <w:i/>
          <w:sz w:val="18"/>
          <w:rFonts w:hint="eastAsia"/>
        </w:rPr>
        <w:t xml:space="preserve">Francxa Tagne Waguie理学院</w:t>
      </w:r>
    </w:p>
    <w:p>
      <w:pPr>
        <w:spacing w:line="206" w:lineRule="exact" w:before="0"/>
        <w:ind w:left="2214" w:right="1453" w:firstLine="0"/>
        <w:jc w:val="center"/>
        <w:rPr>
          <w:i/>
          <w:sz w:val="18"/>
          <w:rFonts w:hint="eastAsia"/>
        </w:rPr>
      </w:pPr>
      <w:r>
        <w:rPr>
          <w:i/>
          <w:sz w:val="18"/>
          <w:rFonts w:hint="eastAsia"/>
        </w:rPr>
        <w:t xml:space="preserve">信息系统工程系，</w:t>
      </w:r>
    </w:p>
    <w:p>
      <w:pPr>
        <w:spacing w:line="247" w:lineRule="auto" w:before="8"/>
        <w:ind w:left="4624" w:right="3858" w:firstLine="38"/>
        <w:jc w:val="center"/>
        <w:rPr>
          <w:i/>
          <w:sz w:val="18"/>
          <w:rFonts w:hint="eastAsia"/>
        </w:rPr>
      </w:pPr>
      <w:r>
        <w:rPr>
          <w:i/>
          <w:sz w:val="18"/>
          <w:rFonts w:hint="eastAsia"/>
        </w:rPr>
        <w:t xml:space="preserve">近东大学frank.waguie@yahoo.fr</w:t>
      </w:r>
      <w:hyperlink r:id="rId6"/>
    </w:p>
    <w:p>
      <w:pPr>
        <w:pStyle w:val="BodyText"/>
        <w:spacing w:before="3"/>
        <w:jc w:val="left"/>
        <w:rPr>
          <w:i/>
          <w:sz w:val="10"/>
        </w:rPr>
      </w:pPr>
    </w:p>
    <w:p>
      <w:pPr>
        <w:spacing w:before="97"/>
        <w:ind w:left="2214" w:right="1454" w:firstLine="0"/>
        <w:jc w:val="center"/>
        <w:rPr>
          <w:i/>
          <w:sz w:val="18"/>
          <w:rFonts w:hint="eastAsia"/>
        </w:rPr>
      </w:pPr>
      <w:r>
        <w:rPr>
          <w:i/>
          <w:sz w:val="18"/>
          <w:rFonts w:hint="eastAsia"/>
        </w:rPr>
        <w:t xml:space="preserve">Fadi Al-Turjman</w:t>
      </w:r>
    </w:p>
    <w:p>
      <w:pPr>
        <w:spacing w:line="247" w:lineRule="auto" w:before="7"/>
        <w:ind w:left="3310" w:right="2552" w:firstLine="2"/>
        <w:jc w:val="center"/>
        <w:rPr>
          <w:i/>
          <w:sz w:val="18"/>
          <w:rFonts w:hint="eastAsia"/>
        </w:rPr>
      </w:pPr>
      <w:r>
        <w:rPr>
          <w:i/>
          <w:sz w:val="18"/>
          <w:rFonts w:hint="eastAsia"/>
        </w:rPr>
        <w:t xml:space="preserve">尼科西亚，梅尔辛10近东大学人工智能与机器人研究所人工智能工程系，土耳其凯里尼亚大学工程学院人工智能与物联网研究中心，凯里尼亚，梅尔辛10，土耳其Fadi.alturjman@neu.edu.tr</w:t>
      </w:r>
      <w:hyperlink r:id="rId7"/>
    </w:p>
    <w:p>
      <w:pPr>
        <w:pStyle w:val="BodyText"/>
        <w:jc w:val="left"/>
        <w:rPr>
          <w:i/>
          <w:sz w:val="20"/>
        </w:rPr>
      </w:pPr>
    </w:p>
    <w:p>
      <w:pPr>
        <w:pStyle w:val="BodyText"/>
        <w:jc w:val="left"/>
        <w:rPr>
          <w:i/>
          <w:sz w:val="20"/>
        </w:rPr>
      </w:pPr>
    </w:p>
    <w:p>
      <w:pPr>
        <w:pStyle w:val="BodyText"/>
        <w:jc w:val="left"/>
        <w:rPr>
          <w:i/>
          <w:sz w:val="20"/>
        </w:rPr>
      </w:pPr>
    </w:p>
    <w:p>
      <w:pPr>
        <w:pStyle w:val="BodyText"/>
        <w:jc w:val="left"/>
        <w:rPr>
          <w:i/>
          <w:sz w:val="20"/>
        </w:rPr>
      </w:pPr>
    </w:p>
    <w:p>
      <w:pPr>
        <w:pStyle w:val="BodyText"/>
        <w:jc w:val="left"/>
        <w:rPr>
          <w:i/>
          <w:sz w:val="20"/>
        </w:rPr>
      </w:pPr>
    </w:p>
    <w:p>
      <w:pPr>
        <w:pStyle w:val="BodyText"/>
        <w:jc w:val="left"/>
        <w:rPr>
          <w:i/>
          <w:sz w:val="20"/>
        </w:rPr>
      </w:pPr>
    </w:p>
    <w:p>
      <w:pPr>
        <w:spacing w:after="0"/>
        <w:jc w:val="left"/>
        <w:rPr>
          <w:sz w:val="20"/>
        </w:rPr>
        <w:sectPr>
          <w:footerReference w:type="default" r:id="rId5"/>
          <w:type w:val="continuous"/>
          <w:pgSz w:w="12240" w:h="15840"/>
          <w:pgMar w:footer="445" w:top="340" w:bottom="640" w:left="820" w:right="1160"/>
        </w:sectPr>
      </w:pPr>
    </w:p>
    <w:p>
      <w:pPr>
        <w:pStyle w:val="BodyText"/>
        <w:jc w:val="left"/>
        <w:rPr>
          <w:i/>
          <w:sz w:val="24"/>
        </w:rPr>
      </w:pPr>
    </w:p>
    <w:p>
      <w:pPr>
        <w:spacing w:line="376" w:lineRule="auto" w:before="0"/>
        <w:ind w:left="416" w:right="0" w:firstLine="670"/>
        <w:jc w:val="both"/>
        <w:rPr>
          <w:b/>
          <w:sz w:val="16"/>
          <w:rFonts w:hint="eastAsia"/>
        </w:rPr>
      </w:pPr>
      <w:r>
        <w:rPr>
          <w:sz w:val="18"/>
          <w:i/>
          <w:rFonts w:hint="eastAsia"/>
        </w:rPr>
        <w:t xml:space="preserve">摘要</w:t>
      </w:r>
      <w:r>
        <w:rPr>
          <w:sz w:val="18"/>
          <w:rFonts w:hint="eastAsia"/>
        </w:rPr>
        <w:t xml:space="preserve">:</w:t>
      </w:r>
      <w:r>
        <w:rPr>
          <w:b/>
          <w:sz w:val="16"/>
          <w:rFonts w:hint="eastAsia"/>
        </w:rPr>
        <w:t xml:space="preserve">边缘计算是扩展云计算潜力的一个前瞻性概念。</w:t>
      </w:r>
      <w:r>
        <w:rPr>
          <w:b/>
          <w:sz w:val="16"/>
          <w:rFonts w:hint="eastAsia"/>
        </w:rPr>
        <w:t xml:space="preserve">为了继续使用计算机服务，保持一个没有任何形式的安全和破坏的良好氛围是至关重要的。</w:t>
      </w:r>
      <w:r>
        <w:rPr>
          <w:b/>
          <w:sz w:val="16"/>
          <w:rFonts w:hint="eastAsia"/>
        </w:rPr>
        <w:t xml:space="preserve">由于围绕该区域的安全问题，围绕边缘计算环境的安全问题受到了阻碍。</w:t>
      </w:r>
      <w:r>
        <w:rPr>
          <w:b/>
          <w:sz w:val="16"/>
          <w:rFonts w:hint="eastAsia"/>
        </w:rPr>
        <w:t xml:space="preserve">许多研究人员都研究了边缘计算的安全问题，然而，并不是所有人都对需求进行了彻底的研究。</w:t>
      </w:r>
      <w:r>
        <w:rPr>
          <w:b/>
          <w:sz w:val="16"/>
          <w:rFonts w:hint="eastAsia"/>
        </w:rPr>
        <w:t xml:space="preserve">安全需求是指定系统为消除各种安全缺陷而执行的流程的功能和操作的目标。</w:t>
      </w:r>
      <w:r>
        <w:rPr>
          <w:b/>
          <w:sz w:val="16"/>
          <w:rFonts w:hint="eastAsia"/>
        </w:rPr>
        <w:t xml:space="preserve">本研究的目的是全面概述目前用于边缘计算安全的许多不同的人工智能技术，旨在帮助未来的研究定位研究潜力。</w:t>
      </w:r>
      <w:r>
        <w:rPr>
          <w:b/>
          <w:sz w:val="16"/>
          <w:rFonts w:hint="eastAsia"/>
        </w:rPr>
        <w:t xml:space="preserve">本文分析了最新的研究，并阐明了以下主题:用于对抗安全威胁的最先进技术，该方法使用的技术趋势，用于评估技术能力的指标，以及用于边缘计算安全的人工智能领域未来研究人员的研究机会。</w:t>
      </w:r>
    </w:p>
    <w:p>
      <w:pPr>
        <w:pStyle w:val="BodyText"/>
        <w:jc w:val="left"/>
        <w:rPr>
          <w:b/>
          <w:sz w:val="24"/>
          <w:rFonts w:hint="eastAsia"/>
        </w:rPr>
      </w:pPr>
      <w:r>
        <w:rPr>
          <w:rFonts w:hint="eastAsia"/>
        </w:rPr>
        <w:br w:type="column"/>
      </w:r>
    </w:p>
    <w:p>
      <w:pPr>
        <w:spacing w:line="376" w:lineRule="auto" w:before="0"/>
        <w:ind w:left="321" w:right="111" w:firstLine="670"/>
        <w:jc w:val="both"/>
        <w:rPr>
          <w:b/>
          <w:i/>
          <w:sz w:val="16"/>
          <w:rFonts w:hint="eastAsia"/>
        </w:rPr>
      </w:pPr>
      <w:r>
        <w:rPr>
          <w:b/>
          <w:i/>
          <w:sz w:val="16"/>
          <w:rFonts w:hint="eastAsia"/>
        </w:rPr>
        <w:t xml:space="preserve">关键词:人工智能，边缘计算，安全，文献综述。</w:t>
      </w:r>
    </w:p>
    <w:p>
      <w:pPr>
        <w:pStyle w:val="ListParagraph"/>
        <w:numPr>
          <w:ilvl w:val="0"/>
          <w:numId w:val="1"/>
        </w:numPr>
        <w:tabs>
          <w:tab w:pos="2196" w:val="left" w:leader="none"/>
        </w:tabs>
        <w:spacing w:line="240" w:lineRule="auto" w:before="148" w:after="0"/>
        <w:ind w:left="2195" w:right="0" w:hanging="255"/>
        <w:jc w:val="left"/>
        <w:rPr>
          <w:sz w:val="15"/>
          <w:rFonts w:hint="eastAsia"/>
        </w:rPr>
      </w:pPr>
      <w:r>
        <w:rPr>
          <w:sz w:val="18"/>
          <w:rFonts w:hint="eastAsia"/>
        </w:rPr>
        <w:t xml:space="preserve">介</w:t>
      </w:r>
      <w:r>
        <w:rPr>
          <w:sz w:val="15"/>
          <w:rFonts w:hint="eastAsia"/>
        </w:rPr>
        <w:t xml:space="preserve">绍</w:t>
      </w:r>
    </w:p>
    <w:p>
      <w:pPr>
        <w:pStyle w:val="BodyText"/>
        <w:spacing w:line="372" w:lineRule="auto" w:before="82"/>
        <w:ind w:left="321" w:right="106" w:firstLine="670"/>
        <w:rPr>
          <w:rFonts w:hint="eastAsia"/>
        </w:rPr>
      </w:pPr>
      <w:r>
        <w:rPr>
          <w:rFonts w:hint="eastAsia"/>
        </w:rPr>
        <w:t xml:space="preserve">随着传感器在现实世界中的部署不断增长，越来越多的物理事物通过传感器连接到物联网(IoT)。</w:t>
      </w:r>
      <w:r>
        <w:rPr>
          <w:rFonts w:hint="eastAsia"/>
        </w:rPr>
        <w:t xml:space="preserve">智慧城市、智能家居、环境感知和可穿戴医疗设备都是物联网技术大规模分布的领域[1][2]。</w:t>
      </w:r>
      <w:r>
        <w:rPr>
          <w:rFonts w:hint="eastAsia"/>
        </w:rPr>
        <w:t xml:space="preserve">在传统的物联网服务中，与物联网相连的传感器和设备必须将数据上传到云服务器以执行计算任务。</w:t>
      </w:r>
      <w:r>
        <w:rPr>
          <w:rFonts w:hint="eastAsia"/>
        </w:rPr>
        <w:t xml:space="preserve">处理后的数据将在任务执行后发送回物联网设备。</w:t>
      </w:r>
      <w:r>
        <w:rPr>
          <w:rFonts w:hint="eastAsia"/>
        </w:rPr>
        <w:t xml:space="preserve">  </w:t>
      </w:r>
      <w:r>
        <w:rPr>
          <w:rFonts w:hint="eastAsia"/>
        </w:rPr>
        <w:t xml:space="preserve">虽然由于云计算，传感器和设备的处理负担减轻了，但庞大的数据传输开销大得不方便，必须加以考虑。</w:t>
      </w:r>
      <w:r>
        <w:rPr>
          <w:rFonts w:hint="eastAsia"/>
        </w:rPr>
        <w:t xml:space="preserve">2018年，全球有112亿台联网物联网设备，预计到2020年这一数字将增至200亿台[3]，导致数据快速增长。</w:t>
      </w:r>
      <w:r>
        <w:rPr>
          <w:rFonts w:hint="eastAsia"/>
        </w:rPr>
        <w:t xml:space="preserve">然而，目前网络容量的增长速度远远低于数据的增长速度</w:t>
      </w:r>
    </w:p>
    <w:p>
      <w:pPr>
        <w:spacing w:after="0" w:line="372" w:lineRule="auto"/>
        <w:sectPr>
          <w:type w:val="continuous"/>
          <w:pgSz w:w="12240" w:h="15840"/>
          <w:pgMar w:top="340" w:bottom="640" w:left="820" w:right="1160"/>
          <w:cols w:num="2" w:equalWidth="0">
            <w:col w:w="5103" w:space="40"/>
            <w:col w:w="5117"/>
          </w:cols>
        </w:sectPr>
      </w:pPr>
    </w:p>
    <w:p>
      <w:pPr>
        <w:pStyle w:val="BodyText"/>
        <w:spacing w:before="10"/>
        <w:jc w:val="left"/>
        <w:rPr>
          <w:sz w:val="26"/>
          <w:rFonts w:hint="eastAsia"/>
        </w:rPr>
      </w:pPr>
      <w:r>
        <w:rPr>
          <w:rFonts w:hint="eastAsia"/>
        </w:rPr>
        <w:pict>
          <v:shape style="position:absolute;margin-left:9.471104pt;margin-top:136.547714pt;width:10.9pt;height:518.9500pt;mso-position-horizontal-relative:page;mso-position-vertical-relative:page;z-index:15728640"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2022年国际万物人工智能会议(AIE) | 978-1-6654-7400-9/22/$31.00 ©2022 IEEE | DOI:</w:t>
                  </w:r>
                  <w:r>
                    <w:rPr>
                      <w:sz w:val="16"/>
                      <w:rFonts w:hint="eastAsia"/>
                    </w:rPr>
                    <w:t xml:space="preserve"> </w:t>
                  </w:r>
                  <w:r>
                    <w:rPr>
                      <w:sz w:val="16"/>
                      <w:rFonts w:hint="eastAsia"/>
                    </w:rPr>
                    <w:t xml:space="preserve">10.1109 / AIE57029.2022.00091</w:t>
                  </w:r>
                </w:p>
              </w:txbxContent>
            </v:textbox>
            <w10:wrap type="none"/>
          </v:shape>
        </w:pict>
      </w:r>
    </w:p>
    <w:p>
      <w:pPr>
        <w:tabs>
          <w:tab w:pos="5419" w:val="right" w:leader="none"/>
        </w:tabs>
        <w:spacing w:before="94"/>
        <w:ind w:left="100" w:right="0" w:firstLine="0"/>
        <w:jc w:val="left"/>
        <w:rPr>
          <w:sz w:val="16"/>
          <w:rFonts w:hint="eastAsia"/>
        </w:rPr>
      </w:pPr>
      <w:r>
        <w:rPr>
          <w:sz w:val="16"/>
          <w:rFonts w:hint="eastAsia"/>
        </w:rPr>
        <w:t xml:space="preserve">978-1-6654-7400-9/22/$31.00 ©2022 ieee 446</w:t>
      </w:r>
    </w:p>
    <w:p>
      <w:pPr>
        <w:spacing w:after="0"/>
        <w:jc w:val="left"/>
        <w:rPr>
          <w:sz w:val="16"/>
        </w:rPr>
        <w:sectPr>
          <w:type w:val="continuous"/>
          <w:pgSz w:w="12240" w:h="15840"/>
          <w:pgMar w:top="340" w:bottom="640" w:left="820" w:right="1160"/>
        </w:sectPr>
      </w:pPr>
    </w:p>
    <w:p>
      <w:pPr>
        <w:pStyle w:val="BodyText"/>
        <w:spacing w:line="372" w:lineRule="auto" w:before="80"/>
        <w:ind w:left="398"/>
        <w:rPr>
          <w:rFonts w:hint="eastAsia"/>
        </w:rPr>
      </w:pPr>
      <w:r>
        <w:rPr>
          <w:rFonts w:hint="eastAsia"/>
        </w:rPr>
        <w:t xml:space="preserve">通信网络的复杂性使得降低延迟变得困难。</w:t>
      </w:r>
      <w:r>
        <w:rPr>
          <w:rFonts w:hint="eastAsia"/>
        </w:rPr>
        <w:t xml:space="preserve">网络带宽已经成为实现普通物联网服务之前必须克服的重要障碍。</w:t>
      </w:r>
      <w:r>
        <w:rPr>
          <w:rFonts w:hint="eastAsia"/>
        </w:rPr>
        <w:t xml:space="preserve">为了克服上述挑战，最近创建了一种称为边缘计算(EC)的新计算方法，并迅速在业界获得了吸引力。</w:t>
      </w:r>
      <w:r>
        <w:rPr>
          <w:rFonts w:hint="eastAsia"/>
        </w:rPr>
        <w:t xml:space="preserve">将计算任务转移到网络边缘的系统被称为“EC”。它的缩写是“边缘计算”。[4],[5]。</w:t>
      </w:r>
      <w:r>
        <w:rPr>
          <w:rFonts w:hint="eastAsia"/>
        </w:rPr>
        <w:t xml:space="preserve">              </w:t>
      </w:r>
      <w:r>
        <w:rPr>
          <w:rFonts w:hint="eastAsia"/>
        </w:rPr>
        <w:t xml:space="preserve">与云计算相比，EC提供了许多好处，包括保护终端用户隐私、最小化数据传输期间的延迟、减少网络带宽负载以及降低数据中心能源使用。</w:t>
      </w:r>
      <w:r>
        <w:rPr>
          <w:rFonts w:hint="eastAsia"/>
        </w:rPr>
        <w:t xml:space="preserve">边缘计算(EC)消除了物联网设备将原始信息提交到中央云服务的需要，而是允许它在边缘节点(ENs)上进行处理、存储和传输，从而减少了延迟。</w:t>
      </w:r>
      <w:r>
        <w:rPr>
          <w:rFonts w:hint="eastAsia"/>
        </w:rPr>
        <w:t xml:space="preserve">需要快速响应时间的物联网和移动计算应用将受益于EC的增强支持。</w:t>
      </w:r>
      <w:r>
        <w:rPr>
          <w:rFonts w:hint="eastAsia"/>
        </w:rPr>
        <w:t xml:space="preserve">另一方面，欧共体并不是万灵药。</w:t>
      </w:r>
      <w:r>
        <w:rPr>
          <w:rFonts w:hint="eastAsia"/>
        </w:rPr>
        <w:t xml:space="preserve">ec支持的物联网设备在计算卸载、精确定位和实时处理等多个领域都有了重大改进。</w:t>
      </w:r>
      <w:r>
        <w:rPr>
          <w:rFonts w:hint="eastAsia"/>
        </w:rPr>
        <w:t xml:space="preserve">这部分是由于终端用户数据处理接近低延迟的来源。</w:t>
      </w:r>
      <w:r>
        <w:rPr>
          <w:rFonts w:hint="eastAsia"/>
        </w:rPr>
        <w:t xml:space="preserve">另一方面，EC引入了新的安全问题，扩大了系统的攻击环境[6]。</w:t>
      </w:r>
    </w:p>
    <w:p>
      <w:pPr>
        <w:pStyle w:val="ListParagraph"/>
        <w:numPr>
          <w:ilvl w:val="0"/>
          <w:numId w:val="1"/>
        </w:numPr>
        <w:tabs>
          <w:tab w:pos="2082" w:val="left" w:leader="none"/>
        </w:tabs>
        <w:spacing w:line="240" w:lineRule="auto" w:before="159" w:after="0"/>
        <w:ind w:left="2081" w:right="0" w:hanging="325"/>
        <w:jc w:val="left"/>
        <w:rPr>
          <w:sz w:val="15"/>
          <w:rFonts w:hint="eastAsia"/>
        </w:rPr>
      </w:pPr>
      <w:r>
        <w:rPr>
          <w:sz w:val="18"/>
          <w:rFonts w:hint="eastAsia"/>
        </w:rPr>
        <w:t xml:space="preserve">文</w:t>
      </w:r>
      <w:r>
        <w:rPr>
          <w:sz w:val="15"/>
          <w:rFonts w:hint="eastAsia"/>
        </w:rPr>
        <w:t xml:space="preserve">献综述</w:t>
      </w:r>
    </w:p>
    <w:p>
      <w:pPr>
        <w:pStyle w:val="ListParagraph"/>
        <w:numPr>
          <w:ilvl w:val="0"/>
          <w:numId w:val="2"/>
        </w:numPr>
        <w:tabs>
          <w:tab w:pos="667" w:val="left" w:leader="none"/>
        </w:tabs>
        <w:spacing w:line="240" w:lineRule="auto" w:before="119" w:after="0"/>
        <w:ind w:left="666" w:right="0" w:hanging="269"/>
        <w:jc w:val="both"/>
        <w:rPr>
          <w:i/>
          <w:sz w:val="18"/>
          <w:rFonts w:hint="eastAsia"/>
        </w:rPr>
      </w:pPr>
      <w:r>
        <w:rPr>
          <w:i/>
          <w:sz w:val="18"/>
          <w:rFonts w:hint="eastAsia"/>
        </w:rPr>
        <w:t xml:space="preserve">异构环境&amp; &amp;;分布式布局</w:t>
      </w:r>
    </w:p>
    <w:p>
      <w:pPr>
        <w:pStyle w:val="BodyText"/>
        <w:spacing w:line="372" w:lineRule="auto" w:before="61"/>
        <w:ind w:left="398" w:right="1" w:firstLine="268"/>
        <w:rPr>
          <w:rFonts w:hint="eastAsia"/>
        </w:rPr>
      </w:pPr>
      <w:r>
        <w:rPr>
          <w:rFonts w:hint="eastAsia"/>
        </w:rPr>
        <w:t xml:space="preserve">移动数据收集、传感器网络、网格计算和无线传感器网络都属于广泛的范畴。在电子商务中使用的技术。</w:t>
      </w:r>
      <w:r>
        <w:rPr>
          <w:rFonts w:hint="eastAsia"/>
        </w:rPr>
        <w:t xml:space="preserve">在这样一个异构环境中，跨多个安全域建立统一的安全规则和机制是很困难的。</w:t>
      </w:r>
    </w:p>
    <w:p>
      <w:pPr>
        <w:pStyle w:val="BodyText"/>
        <w:spacing w:line="372" w:lineRule="auto" w:before="114"/>
        <w:ind w:left="398"/>
        <w:rPr>
          <w:rFonts w:hint="eastAsia"/>
        </w:rPr>
      </w:pPr>
      <w:r>
        <w:rPr>
          <w:rFonts w:hint="eastAsia"/>
        </w:rPr>
        <w:t xml:space="preserve">网络边缘设备(ENs)很难集成以进行集中控制[7]，因为它们分布在网络外围之外。</w:t>
      </w:r>
      <w:r>
        <w:rPr>
          <w:rFonts w:hint="eastAsia"/>
        </w:rPr>
        <w:t xml:space="preserve">攻击者可以将被劫持的节点作为跳板，通过关注已知存在安全漏洞的ENs来渗透整个系统。</w:t>
      </w:r>
    </w:p>
    <w:p>
      <w:pPr>
        <w:pStyle w:val="ListParagraph"/>
        <w:numPr>
          <w:ilvl w:val="0"/>
          <w:numId w:val="2"/>
        </w:numPr>
        <w:tabs>
          <w:tab w:pos="659" w:val="left" w:leader="none"/>
        </w:tabs>
        <w:spacing w:line="240" w:lineRule="auto" w:before="80" w:after="0"/>
        <w:ind w:left="658" w:right="0" w:hanging="316"/>
        <w:jc w:val="both"/>
        <w:rPr>
          <w:i/>
          <w:sz w:val="18"/>
          <w:rFonts w:hint="eastAsia"/>
        </w:rPr>
      </w:pPr>
      <w:r>
        <w:rPr>
          <w:rFonts w:hint="eastAsia"/>
        </w:rPr>
        <w:br w:type="column"/>
      </w:r>
      <w:r>
        <w:rPr>
          <w:i/>
          <w:sz w:val="18"/>
          <w:rFonts w:hint="eastAsia"/>
        </w:rPr>
        <w:t xml:space="preserve">有限的计算源</w:t>
      </w:r>
    </w:p>
    <w:p>
      <w:pPr>
        <w:pStyle w:val="BodyText"/>
        <w:spacing w:line="372" w:lineRule="auto" w:before="63"/>
        <w:ind w:left="343" w:right="104"/>
        <w:rPr>
          <w:rFonts w:hint="eastAsia"/>
        </w:rPr>
      </w:pPr>
      <w:r>
        <w:rPr>
          <w:rFonts w:hint="eastAsia"/>
        </w:rPr>
        <w:t xml:space="preserve">云计算和EN计算功能由于其物理结构而受到限制。</w:t>
      </w:r>
      <w:r>
        <w:rPr>
          <w:rFonts w:hint="eastAsia"/>
        </w:rPr>
        <w:t xml:space="preserve">因此，分布式拒绝服务(DDoS)攻击会对网络产生重大影响。因为en不支持重量级安全机制。</w:t>
      </w:r>
    </w:p>
    <w:p>
      <w:pPr>
        <w:pStyle w:val="BodyText"/>
        <w:spacing w:line="372" w:lineRule="auto" w:before="3"/>
        <w:ind w:left="343" w:right="103" w:firstLine="755"/>
        <w:rPr>
          <w:rFonts w:hint="eastAsia"/>
        </w:rPr>
      </w:pPr>
      <w:r>
        <w:rPr>
          <w:rFonts w:hint="eastAsia"/>
        </w:rPr>
        <w:t xml:space="preserve">已经开发了许多安全策略和算法来补偿边缘计算特征所带来的危险[8]。</w:t>
      </w:r>
      <w:r>
        <w:rPr>
          <w:rFonts w:hint="eastAsia"/>
        </w:rPr>
        <w:t xml:space="preserve">算法和模型遵循入侵检测、数据机密性或访问控制的相同设计，在当今的大部分安全系统中使用。</w:t>
      </w:r>
      <w:r>
        <w:rPr>
          <w:rFonts w:hint="eastAsia"/>
        </w:rPr>
        <w:t xml:space="preserve">随着攻击手段和方法的不断升级，传统的防御措施往往被抛弃。</w:t>
      </w:r>
      <w:r>
        <w:rPr>
          <w:rFonts w:hint="eastAsia"/>
        </w:rPr>
        <w:t xml:space="preserve">然而，令人着迷的是，人工智能(AI)正在为隐私和安全问题提供新的解决方案。</w:t>
      </w:r>
    </w:p>
    <w:p>
      <w:pPr>
        <w:pStyle w:val="ListParagraph"/>
        <w:numPr>
          <w:ilvl w:val="0"/>
          <w:numId w:val="1"/>
        </w:numPr>
        <w:tabs>
          <w:tab w:pos="2208" w:val="left" w:leader="none"/>
        </w:tabs>
        <w:spacing w:line="240" w:lineRule="auto" w:before="152" w:after="0"/>
        <w:ind w:left="2207" w:right="0" w:hanging="319"/>
        <w:jc w:val="left"/>
        <w:rPr>
          <w:sz w:val="15"/>
          <w:rFonts w:hint="eastAsia"/>
        </w:rPr>
      </w:pPr>
      <w:r>
        <w:rPr>
          <w:sz w:val="15"/>
          <w:rFonts w:hint="eastAsia"/>
        </w:rPr>
        <w:t xml:space="preserve">方法</w:t>
      </w:r>
    </w:p>
    <w:p>
      <w:pPr>
        <w:pStyle w:val="BodyText"/>
        <w:spacing w:line="372" w:lineRule="auto" w:before="82"/>
        <w:ind w:left="344" w:right="103" w:firstLine="670"/>
        <w:rPr>
          <w:rFonts w:hint="eastAsia"/>
        </w:rPr>
      </w:pPr>
      <w:r>
        <w:rPr>
          <w:rFonts w:hint="eastAsia"/>
        </w:rPr>
        <w:t xml:space="preserve">为了保证数据的搜索和检索是准确和客观的，这种审查工作适用于系统审查。</w:t>
      </w:r>
      <w:r>
        <w:rPr>
          <w:rFonts w:hint="eastAsia"/>
        </w:rPr>
        <w:t xml:space="preserve">在开始文献和数据提取搜索过程之前，已经制定了一份审查方案，其中详细说明了搜索策略，在选择要考虑或丢弃的论文时建立纳入/排除的具体标准，以及评估被选中进行审查的文章的计划。</w:t>
      </w:r>
      <w:r>
        <w:rPr>
          <w:rFonts w:hint="eastAsia"/>
        </w:rPr>
        <w:t xml:space="preserve">在部署之前，其中一位作者对协议进行了授权。</w:t>
      </w:r>
      <w:r>
        <w:rPr>
          <w:b/>
          <w:rFonts w:hint="eastAsia"/>
        </w:rPr>
        <w:t xml:space="preserve">图1</w:t>
      </w:r>
      <w:r>
        <w:rPr>
          <w:rFonts w:hint="eastAsia"/>
        </w:rPr>
        <w:t xml:space="preserve">描述了评审任务方法中涉及的过程。</w:t>
      </w:r>
    </w:p>
    <w:p>
      <w:pPr>
        <w:spacing w:before="115"/>
        <w:ind w:left="344" w:right="0" w:firstLine="0"/>
        <w:jc w:val="both"/>
        <w:rPr>
          <w:i/>
          <w:sz w:val="18"/>
          <w:rFonts w:hint="eastAsia"/>
        </w:rPr>
      </w:pPr>
      <w:r>
        <w:rPr>
          <w:i/>
          <w:sz w:val="18"/>
          <w:rFonts w:hint="eastAsia"/>
        </w:rPr>
        <w:t xml:space="preserve">A.搜索策略</w:t>
      </w:r>
    </w:p>
    <w:p>
      <w:pPr>
        <w:pStyle w:val="BodyText"/>
        <w:spacing w:line="372" w:lineRule="auto" w:before="63"/>
        <w:ind w:left="344" w:right="104" w:firstLine="670"/>
        <w:rPr>
          <w:rFonts w:hint="eastAsia"/>
        </w:rPr>
      </w:pPr>
      <w:r>
        <w:rPr>
          <w:rFonts w:hint="eastAsia"/>
        </w:rPr>
        <w:t xml:space="preserve">对所有作品进行了全面的搜索，包括审查和技术，集中于人工智能在边缘计算中解决安全问题的应用。</w:t>
      </w:r>
      <w:r>
        <w:rPr>
          <w:rFonts w:hint="eastAsia"/>
        </w:rPr>
        <w:t xml:space="preserve">Web of Science、Scopus、IEEE-Explore、Wiley、Springer和Science Direct都被用来进行搜索。</w:t>
      </w:r>
      <w:r>
        <w:rPr>
          <w:rFonts w:hint="eastAsia"/>
        </w:rPr>
        <w:t xml:space="preserve">这是因为它们包括了来自著名期刊和会议记录的论文，提供了一个有代表性的样本，说明了我们对人工智能的理解</w:t>
      </w:r>
    </w:p>
    <w:p>
      <w:pPr>
        <w:spacing w:after="0" w:line="372" w:lineRule="auto"/>
        <w:sectPr>
          <w:footerReference w:type="default" r:id="rId8"/>
          <w:pgSz w:w="12240" w:h="15840"/>
          <w:pgMar w:footer="704" w:header="0" w:top="1340" w:bottom="900" w:left="820" w:right="1160"/>
          <w:pgNumType w:start="447"/>
          <w:cols w:num="2" w:equalWidth="0">
            <w:col w:w="5086" w:space="40"/>
            <w:col w:w="5134"/>
          </w:cols>
        </w:sectPr>
      </w:pPr>
    </w:p>
    <w:p>
      <w:pPr>
        <w:pStyle w:val="BodyText"/>
        <w:spacing w:line="372" w:lineRule="auto" w:before="80"/>
        <w:ind w:left="396"/>
        <w:rPr>
          <w:rFonts w:hint="eastAsia"/>
        </w:rPr>
      </w:pPr>
      <w:r>
        <w:rPr>
          <w:rFonts w:hint="eastAsia"/>
        </w:rPr>
        <w:t xml:space="preserve">边缘计算安全背景。</w:t>
      </w:r>
      <w:r>
        <w:rPr>
          <w:rFonts w:hint="eastAsia"/>
        </w:rPr>
        <w:t xml:space="preserve">因为搜索将只查看已建议的四个在线电子数据库，因此只会找到与计划审查相关的一小部分文献。</w:t>
      </w:r>
    </w:p>
    <w:p>
      <w:pPr>
        <w:pStyle w:val="BodyText"/>
        <w:spacing w:line="372" w:lineRule="auto" w:before="2"/>
        <w:ind w:left="396" w:firstLine="670"/>
        <w:rPr>
          <w:rFonts w:hint="eastAsia"/>
        </w:rPr>
      </w:pPr>
      <w:r>
        <w:rPr>
          <w:rFonts w:hint="eastAsia"/>
        </w:rPr>
        <w:t xml:space="preserve">为了限制审查工作的范围，搜索仅限于计算机科学和信息、计算机科学和理论以及工程主题领域。</w:t>
      </w:r>
      <w:r>
        <w:rPr>
          <w:rFonts w:hint="eastAsia"/>
        </w:rPr>
        <w:t xml:space="preserve">在第一次搜索中，我们只考虑了2015年1月至2019年11月期间在会议上发表或在同行评议期刊上发表的论文。</w:t>
      </w:r>
      <w:r>
        <w:rPr>
          <w:rFonts w:hint="eastAsia"/>
        </w:rPr>
        <w:t xml:space="preserve">这些文章是通过以下搜索提示找到的:</w:t>
      </w:r>
      <w:r>
        <w:rPr>
          <w:rFonts w:hint="eastAsia"/>
        </w:rPr>
        <w:t xml:space="preserve"> </w:t>
      </w:r>
      <w:r>
        <w:rPr>
          <w:rFonts w:hint="eastAsia"/>
        </w:rPr>
        <w:t xml:space="preserve">{“人工智能”与“边缘计算”与“安全”或“边缘计算”与“安全”与“人工智能”或“安全”与“边缘计算”}。</w:t>
      </w:r>
      <w:r>
        <w:rPr>
          <w:rFonts w:hint="eastAsia"/>
        </w:rPr>
        <w:t xml:space="preserve">入选标准包括:</w:t>
      </w:r>
      <w:r>
        <w:rPr>
          <w:rFonts w:hint="eastAsia"/>
        </w:rPr>
        <w:t xml:space="preserve"> </w:t>
      </w:r>
      <w:r>
        <w:rPr>
          <w:rFonts w:hint="eastAsia"/>
        </w:rPr>
        <w:t xml:space="preserve">在2015年1月至2019年1月期间发表的具有较高意义的期刊或会议论文，以英文撰写;排除标准包括:如果论文没有关注人工智能在边缘计算安全方面的应用，如果论文没有完全可访问。</w:t>
      </w:r>
    </w:p>
    <w:p>
      <w:pPr>
        <w:pStyle w:val="BodyText"/>
        <w:spacing w:line="372" w:lineRule="auto" w:before="4"/>
        <w:ind w:left="396" w:right="1"/>
        <w:rPr>
          <w:rFonts w:hint="eastAsia"/>
        </w:rPr>
      </w:pPr>
      <w:r>
        <w:rPr>
          <w:rFonts w:hint="eastAsia"/>
        </w:rPr>
        <w:t xml:space="preserve">Scopus发表论文273篇，Web of Science 271篇，IEEE- Explore 1328篇，Science Direct 354篇，Springer 371篇，Wiley 405篇。</w:t>
      </w:r>
      <w:r>
        <w:rPr>
          <w:rFonts w:hint="eastAsia"/>
        </w:rPr>
        <w:t xml:space="preserve">总共发现了3002件物品。</w:t>
      </w:r>
      <w:r>
        <w:rPr>
          <w:rFonts w:hint="eastAsia"/>
        </w:rPr>
        <w:t xml:space="preserve">扫描所搜索项目的标题和摘要。</w:t>
      </w:r>
      <w:r>
        <w:rPr>
          <w:rFonts w:hint="eastAsia"/>
        </w:rPr>
        <w:t xml:space="preserve">扫描后，发现2730件物品</w:t>
      </w:r>
    </w:p>
    <w:p>
      <w:pPr>
        <w:pStyle w:val="BodyText"/>
        <w:spacing w:before="79"/>
        <w:ind w:left="337"/>
        <w:jc w:val="left"/>
        <w:rPr>
          <w:rFonts w:hint="eastAsia"/>
        </w:rPr>
      </w:pPr>
      <w:r>
        <w:rPr>
          <w:rFonts w:hint="eastAsia"/>
        </w:rPr>
        <w:br w:type="column"/>
      </w:r>
      <w:r>
        <w:rPr>
          <w:rFonts w:hint="eastAsia"/>
        </w:rPr>
        <w:t xml:space="preserve">外</w:t>
      </w:r>
    </w:p>
    <w:p>
      <w:pPr>
        <w:pStyle w:val="BodyText"/>
        <w:jc w:val="left"/>
        <w:rPr>
          <w:sz w:val="20"/>
        </w:rPr>
      </w:pPr>
    </w:p>
    <w:p>
      <w:pPr>
        <w:pStyle w:val="BodyText"/>
        <w:spacing w:before="10"/>
        <w:jc w:val="left"/>
        <w:rPr>
          <w:rFonts w:hint="eastAsia"/>
        </w:rPr>
      </w:pPr>
      <w:r>
        <w:rPr>
          <w:rFonts w:hint="eastAsia"/>
        </w:rPr>
        <w:drawing>
          <wp:anchor distT="0" distB="0" distL="0" distR="0" allowOverlap="1" layoutInCell="1" locked="0" behindDoc="0" simplePos="0" relativeHeight="1">
            <wp:simplePos x="0" y="0"/>
            <wp:positionH relativeFrom="page">
              <wp:posOffset>3987800</wp:posOffset>
            </wp:positionH>
            <wp:positionV relativeFrom="paragraph">
              <wp:posOffset>162546</wp:posOffset>
            </wp:positionV>
            <wp:extent cx="2794525" cy="463600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2794525" cy="4636008"/>
                    </a:xfrm>
                    <a:prstGeom prst="rect">
                      <a:avLst/>
                    </a:prstGeom>
                  </pic:spPr>
                </pic:pic>
              </a:graphicData>
            </a:graphic>
          </wp:anchor>
        </w:drawing>
      </w:r>
    </w:p>
    <w:p>
      <w:pPr>
        <w:pStyle w:val="BodyText"/>
        <w:jc w:val="left"/>
        <w:rPr>
          <w:sz w:val="20"/>
        </w:rPr>
      </w:pPr>
    </w:p>
    <w:p>
      <w:pPr>
        <w:pStyle w:val="BodyText"/>
        <w:jc w:val="left"/>
        <w:rPr>
          <w:sz w:val="21"/>
        </w:rPr>
      </w:pPr>
    </w:p>
    <w:p>
      <w:pPr>
        <w:spacing w:before="0"/>
        <w:ind w:left="337" w:right="0" w:firstLine="0"/>
        <w:jc w:val="left"/>
        <w:rPr>
          <w:b/>
          <w:sz w:val="13"/>
          <w:rFonts w:hint="eastAsia"/>
        </w:rPr>
      </w:pPr>
      <w:r>
        <w:rPr>
          <w:b/>
          <w:sz w:val="13"/>
          <w:rFonts w:hint="eastAsia"/>
        </w:rPr>
        <w:t xml:space="preserve">图1:</w:t>
      </w:r>
      <w:r>
        <w:rPr>
          <w:b/>
          <w:sz w:val="13"/>
          <w:rFonts w:hint="eastAsia"/>
        </w:rPr>
        <w:t xml:space="preserve"> </w:t>
      </w:r>
      <w:r>
        <w:rPr>
          <w:b/>
          <w:sz w:val="13"/>
          <w:rFonts w:hint="eastAsia"/>
        </w:rPr>
        <w:t xml:space="preserve">已实现评审的体系结构。</w:t>
      </w:r>
    </w:p>
    <w:p>
      <w:pPr>
        <w:pStyle w:val="BodyText"/>
        <w:spacing w:line="372" w:lineRule="auto" w:before="83"/>
        <w:ind w:left="337" w:right="115"/>
        <w:rPr>
          <w:sz w:val="13"/>
          <w:rFonts w:hint="eastAsia"/>
        </w:rPr>
      </w:pPr>
      <w:r>
        <w:rPr>
          <w:rFonts w:hint="eastAsia"/>
        </w:rPr>
        <w:t xml:space="preserve">该图显示了这一审查所涉及的不同步骤。</w:t>
      </w:r>
      <w:r>
        <w:rPr>
          <w:rFonts w:hint="eastAsia"/>
        </w:rPr>
        <w:t xml:space="preserve">箭头表示连续的步骤，右边的正方形表示前一步的结果</w:t>
      </w:r>
      <w:r>
        <w:rPr>
          <w:sz w:val="13"/>
          <w:rFonts w:hint="eastAsia"/>
        </w:rPr>
        <w:t xml:space="preserve">。</w:t>
      </w:r>
    </w:p>
    <w:p>
      <w:pPr>
        <w:pStyle w:val="BodyText"/>
        <w:spacing w:before="8"/>
        <w:jc w:val="left"/>
        <w:rPr>
          <w:sz w:val="19"/>
        </w:rPr>
      </w:pPr>
    </w:p>
    <w:p>
      <w:pPr>
        <w:pStyle w:val="BodyText"/>
        <w:spacing w:line="372" w:lineRule="auto"/>
        <w:ind w:left="337" w:right="114" w:firstLine="670"/>
        <w:rPr>
          <w:rFonts w:hint="eastAsia"/>
        </w:rPr>
      </w:pPr>
      <w:r>
        <w:rPr>
          <w:rFonts w:hint="eastAsia"/>
        </w:rPr>
        <w:t xml:space="preserve">对符合纳入标准的数据进行了彻底的抽象，以获得符合研究目标的相关数据。</w:t>
      </w:r>
      <w:r>
        <w:rPr>
          <w:rFonts w:hint="eastAsia"/>
        </w:rPr>
        <w:t xml:space="preserve">记录了以下细节:</w:t>
      </w:r>
      <w:r>
        <w:rPr>
          <w:rFonts w:hint="eastAsia"/>
        </w:rPr>
        <w:t xml:space="preserve"> </w:t>
      </w:r>
      <w:r>
        <w:rPr>
          <w:rFonts w:hint="eastAsia"/>
        </w:rPr>
        <w:t xml:space="preserve">作者,</w:t>
      </w:r>
    </w:p>
    <w:p>
      <w:pPr>
        <w:pStyle w:val="ListParagraph"/>
        <w:numPr>
          <w:ilvl w:val="0"/>
          <w:numId w:val="1"/>
        </w:numPr>
        <w:tabs>
          <w:tab w:pos="2459" w:val="left" w:leader="none"/>
        </w:tabs>
        <w:spacing w:line="240" w:lineRule="auto" w:before="150" w:after="0"/>
        <w:ind w:left="2458" w:right="0" w:hanging="323"/>
        <w:jc w:val="left"/>
        <w:rPr>
          <w:sz w:val="15"/>
          <w:rFonts w:hint="eastAsia"/>
        </w:rPr>
      </w:pPr>
      <w:r>
        <w:rPr>
          <w:sz w:val="15"/>
          <w:rFonts w:hint="eastAsia"/>
        </w:rPr>
        <w:t xml:space="preserve">结果</w:t>
      </w:r>
    </w:p>
    <w:p>
      <w:pPr>
        <w:pStyle w:val="BodyText"/>
        <w:spacing w:line="372" w:lineRule="auto" w:before="81"/>
        <w:ind w:left="337" w:right="112" w:firstLine="716"/>
        <w:rPr>
          <w:rFonts w:hint="eastAsia"/>
        </w:rPr>
      </w:pPr>
      <w:r>
        <w:rPr>
          <w:rFonts w:hint="eastAsia"/>
        </w:rPr>
        <w:t xml:space="preserve">该评论研究了来自不同期刊和会议记录的四个独立电子数据库中的10份出版物。</w:t>
      </w:r>
      <w:r>
        <w:rPr>
          <w:b/>
          <w:rFonts w:hint="eastAsia"/>
        </w:rPr>
        <w:t xml:space="preserve">图</w:t>
      </w:r>
      <w:r>
        <w:rPr>
          <w:rFonts w:hint="eastAsia"/>
        </w:rPr>
        <w:t xml:space="preserve">2描述了的分布</w:t>
      </w:r>
    </w:p>
    <w:p>
      <w:pPr>
        <w:spacing w:after="0" w:line="372" w:lineRule="auto"/>
        <w:sectPr>
          <w:pgSz w:w="12240" w:h="15840"/>
          <w:pgMar w:header="0" w:footer="704" w:top="1340" w:bottom="900" w:left="820" w:right="1160"/>
          <w:cols w:num="2" w:equalWidth="0">
            <w:col w:w="5083" w:space="40"/>
            <w:col w:w="5137"/>
          </w:cols>
        </w:sectPr>
      </w:pPr>
    </w:p>
    <w:p>
      <w:pPr>
        <w:pStyle w:val="BodyText"/>
        <w:spacing w:line="372" w:lineRule="auto" w:before="80"/>
        <w:ind w:left="398"/>
        <w:rPr>
          <w:rFonts w:hint="eastAsia"/>
        </w:rPr>
      </w:pPr>
      <w:r>
        <w:rPr>
          <w:rFonts w:hint="eastAsia"/>
        </w:rPr>
        <w:pict>
          <v:shape style="position:absolute;margin-left:158.009003pt;margin-top:203.521576pt;width:4.75pt;height:9.3pt;mso-position-horizontal-relative:page;mso-position-vertical-relative:paragraph;z-index:-15832576" type="#_x0000_t202" filled="false" stroked="false">
            <v:textbox inset="0,0,0,0">
              <w:txbxContent>
                <w:p>
                  <w:pPr>
                    <w:spacing w:line="185" w:lineRule="exact" w:before="0"/>
                    <w:ind w:left="0" w:right="0" w:firstLine="0"/>
                    <w:jc w:val="left"/>
                    <w:rPr>
                      <w:b/>
                      <w:sz w:val="18"/>
                      <w:rFonts w:ascii="Calibri" w:hint="eastAsia" w:eastAsia="SimSun"/>
                    </w:rPr>
                  </w:pPr>
                  <w:r>
                    <w:rPr>
                      <w:b/>
                      <w:color w:val="FFFFFF"/>
                      <w:sz w:val="18"/>
                      <w:rFonts w:ascii="Calibri" w:hint="eastAsia" w:eastAsia="SimSun"/>
                    </w:rPr>
                    <w:t xml:space="preserve">2</w:t>
                  </w:r>
                </w:p>
              </w:txbxContent>
            </v:textbox>
            <w10:wrap type="none"/>
          </v:shape>
        </w:pict>
      </w:r>
      <w:r>
        <w:rPr>
          <w:rFonts w:hint="eastAsia"/>
        </w:rPr>
        <w:t xml:space="preserve">几家期刊的出版物，涵盖了广泛的主题。</w:t>
      </w:r>
      <w:r>
        <w:rPr>
          <w:rFonts w:hint="eastAsia"/>
        </w:rPr>
        <w:t xml:space="preserve">大部分论文来自IEEE explore Magazine(70%)和ACM Digital Library期刊(20%)，Science Direct占了剩余的10%。</w:t>
      </w:r>
      <w:r>
        <w:rPr>
          <w:rFonts w:hint="eastAsia"/>
        </w:rPr>
        <w:t xml:space="preserve">在保留的每篇文章中，我们提取了研究的描述(研究目的和研究目的)，用于攻击检测的方法，用于性能分析的方法，该方法的优点及其局限性(表1)。</w:t>
      </w:r>
    </w:p>
    <w:p>
      <w:pPr>
        <w:pStyle w:val="BodyText"/>
        <w:ind w:left="1061"/>
        <w:jc w:val="left"/>
        <w:rPr>
          <w:sz w:val="20"/>
          <w:rFonts w:hint="eastAsia"/>
        </w:rPr>
      </w:pPr>
      <w:r>
        <w:rPr>
          <w:sz w:val="20"/>
          <w:rFonts w:hint="eastAsia"/>
        </w:rPr>
        <w:pict>
          <v:group style="width:184.6pt;height:157.35pt;mso-position-horizontal-relative:char;mso-position-vertical-relative:line" coordorigin="0,0" coordsize="3692,3147">
            <v:shape style="position:absolute;left:6;top:6;width:3678;height:3133" type="#_x0000_t75" stroked="false">
              <v:imagedata r:id="rId10" o:title=""/>
            </v:shape>
            <v:shape style="position:absolute;left:2;top:234;width:2507;height:2682" type="#_x0000_t75" stroked="false">
              <v:imagedata r:id="rId11" o:title=""/>
            </v:shape>
            <v:shape style="position:absolute;left:1161;top:623;width:905;height:950" coordorigin="1162,623" coordsize="905,950" path="m1162,623l1162,1573,2067,1280,2040,1209,2008,1140,1971,1074,1930,1013,1883,955,1833,901,1779,851,1721,805,1660,764,1595,728,1528,697,1459,671,1387,651,1314,636,1238,627,1162,623xe" filled="true" fillcolor="#5b9bd4" stroked="false">
              <v:path arrowok="t"/>
              <v:fill type="solid"/>
            </v:shape>
            <v:shape style="position:absolute;left:212;top:804;width:1901;height:1719" coordorigin="212,804" coordsize="1901,1719" path="m603,804l543,852,488,903,437,958,391,1017,350,1079,315,1143,284,1210,259,1279,239,1350,224,1422,216,1496,212,1570,215,1644,224,1719,238,1794,259,1868,285,1938,315,2004,350,2067,389,2127,432,2183,479,2235,530,2283,584,2328,641,2368,700,2404,762,2435,826,2462,892,2484,960,2501,1029,2514,1099,2521,1170,2523,1241,2520,1313,2511,1385,2496,1457,2476,1526,2450,1593,2420,1656,2385,1716,2346,1772,2303,1824,2256,1872,2205,1917,2151,1957,2095,1993,2035,2024,1973,2051,1909,2073,1843,2091,1776,2103,1707,2111,1637,2113,1566,2110,1495,2101,1423,2087,1352,2067,1280,1162,1573,603,804xe" filled="true" fillcolor="#ec7c30" stroked="false">
              <v:path arrowok="t"/>
              <v:fill type="solid"/>
            </v:shape>
            <v:shape style="position:absolute;left:603;top:623;width:559;height:950" coordorigin="603,623" coordsize="559,950" path="m1162,623l1087,626,1013,635,940,649,868,670,799,695,731,726,666,763,603,804,1162,1573,1162,623xe" filled="true" fillcolor="#a4a4a4" stroked="false">
              <v:path arrowok="t"/>
              <v:fill type="solid"/>
            </v:shape>
            <v:shape style="position:absolute;left:1182;top:1007;width:595;height:443" type="#_x0000_t75" stroked="false">
              <v:imagedata r:id="rId12" o:title=""/>
            </v:shape>
            <v:shape style="position:absolute;left:1224;top:1047;width:436;height:284" type="#_x0000_t75" stroked="false">
              <v:imagedata r:id="rId13" o:title=""/>
            </v:shape>
            <v:shape style="position:absolute;left:757;top:1843;width:595;height:443" type="#_x0000_t75" stroked="false">
              <v:imagedata r:id="rId14" o:title=""/>
            </v:shape>
            <v:shape style="position:absolute;left:797;top:1883;width:436;height:284" type="#_x0000_t75" stroked="false">
              <v:imagedata r:id="rId15" o:title=""/>
            </v:shape>
            <v:shape style="position:absolute;left:757;top:940;width:595;height:438" type="#_x0000_t75" stroked="false">
              <v:imagedata r:id="rId16" o:title=""/>
            </v:shape>
            <v:shape style="position:absolute;left:797;top:980;width:436;height:282" type="#_x0000_t75" stroked="false">
              <v:imagedata r:id="rId17" o:title=""/>
            </v:shape>
            <v:shape style="position:absolute;left:2312;top:793;width:1265;height:1560" type="#_x0000_t75" stroked="false">
              <v:imagedata r:id="rId18" o:title=""/>
            </v:shape>
            <v:rect style="position:absolute;left:2404;top:909;width:94;height:92" filled="true" fillcolor="#5b9bd4" stroked="false">
              <v:fill type="solid"/>
            </v:rect>
            <v:rect style="position:absolute;left:2404;top:1425;width:94;height:92" filled="true" fillcolor="#ec7c30" stroked="false">
              <v:fill type="solid"/>
            </v:rect>
            <v:rect style="position:absolute;left:2404;top:1941;width:94;height:94" filled="true" fillcolor="#a4a4a4" stroked="false">
              <v:fill type="solid"/>
            </v:rect>
            <v:rect style="position:absolute;left:6;top:6;width:3678;height:3133" filled="false" stroked="true" strokeweight=".67pt" strokecolor="#bebebe">
              <v:stroke dashstyle="solid"/>
            </v:rect>
            <v:shape style="position:absolute;left:853;top:1045;width:343;height:186" type="#_x0000_t202" filled="false" stroked="false">
              <v:textbox inset="0,0,0,0">
                <w:txbxContent>
                  <w:p>
                    <w:pPr>
                      <w:spacing w:line="185" w:lineRule="exact" w:before="0"/>
                      <w:ind w:left="0" w:right="0" w:firstLine="0"/>
                      <w:jc w:val="left"/>
                      <w:rPr>
                        <w:b/>
                        <w:sz w:val="18"/>
                        <w:rFonts w:ascii="Calibri" w:hint="eastAsia" w:eastAsia="SimSun"/>
                      </w:rPr>
                    </w:pPr>
                    <w:r>
                      <w:rPr>
                        <w:b/>
                        <w:color w:val="FFFFFF"/>
                        <w:sz w:val="18"/>
                        <w:rFonts w:ascii="Calibri" w:hint="eastAsia" w:eastAsia="SimSun"/>
                      </w:rPr>
                      <w:t xml:space="preserve">10%</w:t>
                    </w:r>
                  </w:p>
                </w:txbxContent>
              </v:textbox>
              <w10:wrap type="none"/>
            </v:shape>
            <v:shape style="position:absolute;left:1372;top:1112;width:248;height:186" type="#_x0000_t202" filled="false" stroked="false">
              <v:textbox inset="0,0,0,0">
                <w:txbxContent>
                  <w:p>
                    <w:pPr>
                      <w:spacing w:line="185" w:lineRule="exact" w:before="0"/>
                      <w:ind w:left="0" w:right="0" w:firstLine="0"/>
                      <w:jc w:val="left"/>
                      <w:rPr>
                        <w:b/>
                        <w:sz w:val="18"/>
                        <w:rFonts w:ascii="Calibri" w:hint="eastAsia" w:eastAsia="SimSun"/>
                      </w:rPr>
                    </w:pPr>
                    <w:r>
                      <w:rPr>
                        <w:b/>
                        <w:color w:val="FFFFFF"/>
                        <w:sz w:val="18"/>
                        <w:rFonts w:ascii="Calibri" w:hint="eastAsia" w:eastAsia="SimSun"/>
                      </w:rPr>
                      <w:t xml:space="preserve">0%</w:t>
                    </w:r>
                  </w:p>
                </w:txbxContent>
              </v:textbox>
              <w10:wrap type="none"/>
            </v:shape>
            <v:shape style="position:absolute;left:2536;top:875;width:822;height:686" type="#_x0000_t202" filled="false" stroked="false">
              <v:textbox inset="0,0,0,0">
                <w:txbxContent>
                  <w:p>
                    <w:pPr>
                      <w:spacing w:line="169" w:lineRule="exact" w:before="0"/>
                      <w:ind w:left="0" w:right="0" w:firstLine="0"/>
                      <w:jc w:val="left"/>
                      <w:rPr>
                        <w:sz w:val="16"/>
                        <w:rFonts w:ascii="Calibri" w:hint="eastAsia" w:eastAsia="SimSun"/>
                      </w:rPr>
                    </w:pPr>
                    <w:r>
                      <w:rPr>
                        <w:color w:val="404040"/>
                        <w:sz w:val="16"/>
                        <w:rFonts w:ascii="Calibri" w:hint="eastAsia" w:eastAsia="SimSun"/>
                      </w:rPr>
                      <w:t xml:space="preserve">ACM数字</w:t>
                    </w:r>
                  </w:p>
                  <w:p>
                    <w:pPr>
                      <w:spacing w:before="10"/>
                      <w:ind w:left="0" w:right="0" w:firstLine="0"/>
                      <w:jc w:val="left"/>
                      <w:rPr>
                        <w:sz w:val="16"/>
                        <w:rFonts w:ascii="Calibri" w:hint="eastAsia" w:eastAsia="SimSun"/>
                      </w:rPr>
                    </w:pPr>
                    <w:r>
                      <w:rPr>
                        <w:color w:val="404040"/>
                        <w:sz w:val="16"/>
                        <w:rFonts w:ascii="Calibri" w:hint="eastAsia" w:eastAsia="SimSun"/>
                      </w:rPr>
                      <w:t xml:space="preserve">图书馆</w:t>
                    </w:r>
                  </w:p>
                  <w:p>
                    <w:pPr>
                      <w:spacing w:line="194" w:lineRule="exact" w:before="117"/>
                      <w:ind w:left="0" w:right="0" w:firstLine="0"/>
                      <w:jc w:val="left"/>
                      <w:rPr>
                        <w:sz w:val="16"/>
                        <w:rFonts w:ascii="Calibri" w:hint="eastAsia" w:eastAsia="SimSun"/>
                      </w:rPr>
                    </w:pPr>
                    <w:r>
                      <w:rPr>
                        <w:color w:val="404040"/>
                        <w:sz w:val="16"/>
                        <w:rFonts w:ascii="Calibri" w:hint="eastAsia" w:eastAsia="SimSun"/>
                      </w:rPr>
                      <w:t xml:space="preserve">IEEE Xplore</w:t>
                    </w:r>
                  </w:p>
                </w:txbxContent>
              </v:textbox>
              <w10:wrap type="none"/>
            </v:shape>
            <v:shape style="position:absolute;left:853;top:1947;width:343;height:186" type="#_x0000_t202" filled="false" stroked="false">
              <v:textbox inset="0,0,0,0">
                <w:txbxContent>
                  <w:p>
                    <w:pPr>
                      <w:spacing w:line="185" w:lineRule="exact" w:before="0"/>
                      <w:ind w:left="0" w:right="0" w:firstLine="0"/>
                      <w:jc w:val="left"/>
                      <w:rPr>
                        <w:b/>
                        <w:sz w:val="18"/>
                        <w:rFonts w:ascii="Calibri" w:hint="eastAsia" w:eastAsia="SimSun"/>
                      </w:rPr>
                    </w:pPr>
                    <w:r>
                      <w:rPr>
                        <w:b/>
                        <w:color w:val="FFFFFF"/>
                        <w:sz w:val="18"/>
                        <w:rFonts w:ascii="Calibri" w:hint="eastAsia" w:eastAsia="SimSun"/>
                      </w:rPr>
                      <w:t xml:space="preserve">70%</w:t>
                    </w:r>
                  </w:p>
                </w:txbxContent>
              </v:textbox>
              <w10:wrap type="none"/>
            </v:shape>
            <v:shape style="position:absolute;left:2536;top:1909;width:981;height:168" type="#_x0000_t202" filled="false" stroked="false">
              <v:textbox inset="0,0,0,0">
                <w:txbxContent>
                  <w:p>
                    <w:pPr>
                      <w:spacing w:line="168" w:lineRule="exact" w:before="0"/>
                      <w:ind w:left="0" w:right="0" w:firstLine="0"/>
                      <w:jc w:val="left"/>
                      <w:rPr>
                        <w:sz w:val="16"/>
                        <w:rFonts w:ascii="Calibri" w:hint="eastAsia" w:eastAsia="SimSun"/>
                      </w:rPr>
                    </w:pPr>
                    <w:r>
                      <w:rPr>
                        <w:color w:val="404040"/>
                        <w:sz w:val="16"/>
                        <w:rFonts w:ascii="Calibri" w:hint="eastAsia" w:eastAsia="SimSun"/>
                      </w:rPr>
                      <w:t xml:space="preserve">科学指引</w:t>
                    </w:r>
                  </w:p>
                </w:txbxContent>
              </v:textbox>
              <w10:wrap type="none"/>
            </v:shape>
          </v:group>
        </w:pict>
      </w:r>
    </w:p>
    <w:p>
      <w:pPr>
        <w:spacing w:before="110"/>
        <w:ind w:left="653" w:right="0" w:firstLine="0"/>
        <w:jc w:val="left"/>
        <w:rPr>
          <w:b/>
          <w:sz w:val="13"/>
          <w:rFonts w:hint="eastAsia"/>
        </w:rPr>
      </w:pPr>
      <w:r>
        <w:rPr>
          <w:b/>
          <w:sz w:val="13"/>
          <w:rFonts w:hint="eastAsia"/>
        </w:rPr>
        <w:t xml:space="preserve">图2:</w:t>
      </w:r>
      <w:r>
        <w:rPr>
          <w:b/>
          <w:sz w:val="13"/>
          <w:rFonts w:hint="eastAsia"/>
        </w:rPr>
        <w:t xml:space="preserve"> </w:t>
      </w:r>
      <w:r>
        <w:rPr>
          <w:b/>
          <w:sz w:val="13"/>
          <w:rFonts w:hint="eastAsia"/>
        </w:rPr>
        <w:t xml:space="preserve">根据各自的期刊分发文章。</w:t>
      </w:r>
    </w:p>
    <w:p>
      <w:pPr>
        <w:pStyle w:val="BodyText"/>
        <w:spacing w:before="1"/>
        <w:jc w:val="left"/>
        <w:rPr>
          <w:b/>
          <w:sz w:val="20"/>
        </w:rPr>
      </w:pPr>
    </w:p>
    <w:p>
      <w:pPr>
        <w:pStyle w:val="ListParagraph"/>
        <w:numPr>
          <w:ilvl w:val="0"/>
          <w:numId w:val="1"/>
        </w:numPr>
        <w:tabs>
          <w:tab w:pos="2390" w:val="left" w:leader="none"/>
        </w:tabs>
        <w:spacing w:line="240" w:lineRule="auto" w:before="0" w:after="0"/>
        <w:ind w:left="2389" w:right="0" w:hanging="294"/>
        <w:jc w:val="left"/>
        <w:rPr>
          <w:sz w:val="15"/>
          <w:rFonts w:hint="eastAsia"/>
        </w:rPr>
      </w:pPr>
      <w:r>
        <w:rPr>
          <w:sz w:val="18"/>
          <w:rFonts w:hint="eastAsia"/>
        </w:rPr>
        <w:t xml:space="preserve">讨</w:t>
      </w:r>
      <w:r>
        <w:rPr>
          <w:sz w:val="15"/>
          <w:rFonts w:hint="eastAsia"/>
        </w:rPr>
        <w:t xml:space="preserve">论</w:t>
      </w:r>
    </w:p>
    <w:p>
      <w:pPr>
        <w:pStyle w:val="BodyText"/>
        <w:spacing w:line="372" w:lineRule="auto" w:before="81"/>
        <w:ind w:left="398" w:right="1" w:firstLine="670"/>
        <w:rPr>
          <w:rFonts w:hint="eastAsia"/>
        </w:rPr>
      </w:pPr>
      <w:r>
        <w:rPr>
          <w:rFonts w:hint="eastAsia"/>
        </w:rPr>
        <w:t xml:space="preserve">尽管过去的审查研究为理解边缘计算安全和隐私挑战提供了值得注意的基础，但评估之间的范围在提供安全和隐私需求的完整评估方面受到限制。</w:t>
      </w:r>
      <w:r>
        <w:rPr>
          <w:rFonts w:hint="eastAsia"/>
        </w:rPr>
        <w:t xml:space="preserve">此外，使用部署的技术手段来确保满足规范的方法没有得到充分的检查。</w:t>
      </w:r>
      <w:r>
        <w:rPr>
          <w:rFonts w:hint="eastAsia"/>
        </w:rPr>
        <w:t xml:space="preserve">这篇综述使用了一种系统的方法来提供关于边缘计算系统中的安全和隐私的全面知识。</w:t>
      </w:r>
    </w:p>
    <w:p>
      <w:pPr>
        <w:pStyle w:val="BodyText"/>
        <w:spacing w:line="372" w:lineRule="auto" w:before="4"/>
        <w:ind w:left="398"/>
        <w:rPr>
          <w:rFonts w:hint="eastAsia"/>
        </w:rPr>
      </w:pPr>
      <w:r>
        <w:rPr>
          <w:rFonts w:hint="eastAsia"/>
        </w:rPr>
        <w:t xml:space="preserve">根据研究结果，从分析的论文中提供了十种边缘计算安全策略，所有策略都以攻击检测为目标。</w:t>
      </w:r>
      <w:r>
        <w:rPr>
          <w:rFonts w:hint="eastAsia"/>
        </w:rPr>
        <w:t xml:space="preserve">这些技术包括SDN架构框架、MAB架构框架、博弈论算法、贪心算法、聚类算法、机器学习、新颖方法(D2D通信)、新颖方法(混合特征分析)、新颖方法(GPS)、新颖方法(ANDROIDS)。</w:t>
      </w:r>
      <w:r>
        <w:rPr>
          <w:rFonts w:hint="eastAsia"/>
        </w:rPr>
        <w:t xml:space="preserve">的</w:t>
      </w:r>
    </w:p>
    <w:p>
      <w:pPr>
        <w:pStyle w:val="BodyText"/>
        <w:spacing w:line="372" w:lineRule="auto" w:before="80"/>
        <w:ind w:left="334" w:right="111"/>
        <w:rPr>
          <w:rFonts w:hint="eastAsia"/>
        </w:rPr>
      </w:pPr>
      <w:r>
        <w:rPr>
          <w:rFonts w:hint="eastAsia"/>
        </w:rPr>
        <w:br w:type="column"/>
      </w:r>
      <w:r>
        <w:rPr>
          <w:rFonts w:hint="eastAsia"/>
        </w:rPr>
        <w:t xml:space="preserve">还研究了用于评估方法有效性的绩效指标。</w:t>
      </w:r>
      <w:r>
        <w:rPr>
          <w:rFonts w:hint="eastAsia"/>
        </w:rPr>
        <w:t xml:space="preserve">可以看出，策略使用指定的度量来评估其在每一类标准下的有效性，确认期望的目标。</w:t>
      </w:r>
      <w:r>
        <w:rPr>
          <w:rFonts w:hint="eastAsia"/>
        </w:rPr>
        <w:t xml:space="preserve">表11强调了使用特定标准评估策略的目标。</w:t>
      </w:r>
      <w:r>
        <w:rPr>
          <w:rFonts w:hint="eastAsia"/>
        </w:rPr>
        <w:t xml:space="preserve">这将有助于未来的学者理解为什么每个测量都以特定的方式使用。</w:t>
      </w:r>
    </w:p>
    <w:p>
      <w:pPr>
        <w:pStyle w:val="BodyText"/>
        <w:spacing w:line="372" w:lineRule="auto" w:before="1"/>
        <w:ind w:left="334" w:right="112" w:firstLine="670"/>
        <w:rPr>
          <w:rFonts w:hint="eastAsia"/>
        </w:rPr>
      </w:pPr>
      <w:r>
        <w:rPr>
          <w:rFonts w:hint="eastAsia"/>
        </w:rPr>
        <w:t xml:space="preserve">这项研究旨在尽可能快地完成审查。</w:t>
      </w:r>
      <w:r>
        <w:rPr>
          <w:rFonts w:hint="eastAsia"/>
        </w:rPr>
        <w:t xml:space="preserve">然而，各种情况可能会影响得出的结论，降低结果的质量。</w:t>
      </w:r>
      <w:r>
        <w:rPr>
          <w:rFonts w:hint="eastAsia"/>
        </w:rPr>
        <w:t xml:space="preserve">以下是一些促成因素:</w:t>
      </w:r>
    </w:p>
    <w:p>
      <w:pPr>
        <w:pStyle w:val="ListParagraph"/>
        <w:numPr>
          <w:ilvl w:val="0"/>
          <w:numId w:val="3"/>
        </w:numPr>
        <w:tabs>
          <w:tab w:pos="444" w:val="left" w:leader="none"/>
        </w:tabs>
        <w:spacing w:line="372" w:lineRule="auto" w:before="2" w:after="0"/>
        <w:ind w:left="334" w:right="115" w:firstLine="0"/>
        <w:jc w:val="both"/>
        <w:rPr>
          <w:sz w:val="18"/>
          <w:rFonts w:hint="eastAsia"/>
        </w:rPr>
      </w:pPr>
      <w:r>
        <w:rPr>
          <w:sz w:val="18"/>
          <w:rFonts w:hint="eastAsia"/>
        </w:rPr>
        <w:t xml:space="preserve">由于只有一位作者搜索了原始研究论文，数据收集过程被扭曲了。</w:t>
      </w:r>
    </w:p>
    <w:p>
      <w:pPr>
        <w:pStyle w:val="ListParagraph"/>
        <w:numPr>
          <w:ilvl w:val="0"/>
          <w:numId w:val="3"/>
        </w:numPr>
        <w:tabs>
          <w:tab w:pos="454" w:val="left" w:leader="none"/>
        </w:tabs>
        <w:spacing w:line="372" w:lineRule="auto" w:before="1" w:after="0"/>
        <w:ind w:left="334" w:right="113" w:firstLine="0"/>
        <w:jc w:val="both"/>
        <w:rPr>
          <w:sz w:val="18"/>
          <w:rFonts w:hint="eastAsia"/>
        </w:rPr>
      </w:pPr>
      <w:r>
        <w:rPr>
          <w:sz w:val="18"/>
          <w:rFonts w:hint="eastAsia"/>
        </w:rPr>
        <w:t xml:space="preserve">因此，为了收集数据，只审查了四个电子数据库。</w:t>
      </w:r>
      <w:r>
        <w:rPr>
          <w:sz w:val="18"/>
          <w:rFonts w:hint="eastAsia"/>
        </w:rPr>
        <w:t xml:space="preserve">因此，来自其他相关数据库的研究可能会被排除在外。</w:t>
      </w:r>
      <w:r>
        <w:rPr>
          <w:sz w:val="18"/>
          <w:rFonts w:hint="eastAsia"/>
        </w:rPr>
        <w:t xml:space="preserve">结果，审查工作的广度受到限制。</w:t>
      </w:r>
    </w:p>
    <w:p>
      <w:pPr>
        <w:pStyle w:val="ListParagraph"/>
        <w:numPr>
          <w:ilvl w:val="0"/>
          <w:numId w:val="3"/>
        </w:numPr>
        <w:tabs>
          <w:tab w:pos="519" w:val="left" w:leader="none"/>
        </w:tabs>
        <w:spacing w:line="372" w:lineRule="auto" w:before="2" w:after="0"/>
        <w:ind w:left="334" w:right="114" w:firstLine="0"/>
        <w:jc w:val="both"/>
        <w:rPr>
          <w:sz w:val="18"/>
          <w:rFonts w:hint="eastAsia"/>
        </w:rPr>
      </w:pPr>
      <w:r>
        <w:rPr>
          <w:sz w:val="18"/>
          <w:rFonts w:hint="eastAsia"/>
        </w:rPr>
        <w:t xml:space="preserve">只考虑在学术期刊上发表的作品和在会议上发表的作品，作为补充信息的来源，专利、期刊和专题讨论会被省略。</w:t>
      </w:r>
    </w:p>
    <w:p>
      <w:pPr>
        <w:pStyle w:val="ListParagraph"/>
        <w:numPr>
          <w:ilvl w:val="0"/>
          <w:numId w:val="1"/>
        </w:numPr>
        <w:tabs>
          <w:tab w:pos="1884" w:val="left" w:leader="none"/>
        </w:tabs>
        <w:spacing w:line="240" w:lineRule="auto" w:before="150" w:after="0"/>
        <w:ind w:left="1883" w:right="0" w:hanging="323"/>
        <w:jc w:val="left"/>
        <w:rPr>
          <w:sz w:val="15"/>
          <w:rFonts w:hint="eastAsia"/>
        </w:rPr>
      </w:pPr>
      <w:r>
        <w:rPr>
          <w:sz w:val="18"/>
          <w:rFonts w:hint="eastAsia"/>
        </w:rPr>
        <w:t xml:space="preserve">开</w:t>
      </w:r>
      <w:r>
        <w:rPr>
          <w:sz w:val="15"/>
          <w:rFonts w:hint="eastAsia"/>
        </w:rPr>
        <w:t xml:space="preserve">放</w:t>
      </w:r>
      <w:r>
        <w:rPr>
          <w:sz w:val="18"/>
          <w:rFonts w:hint="eastAsia"/>
        </w:rPr>
        <w:t xml:space="preserve">性</w:t>
      </w:r>
      <w:r>
        <w:rPr>
          <w:sz w:val="15"/>
          <w:rFonts w:hint="eastAsia"/>
        </w:rPr>
        <w:t xml:space="preserve">研究问题</w:t>
      </w:r>
    </w:p>
    <w:p>
      <w:pPr>
        <w:pStyle w:val="BodyText"/>
        <w:spacing w:line="372" w:lineRule="auto" w:before="81"/>
        <w:ind w:left="334" w:right="111" w:firstLine="670"/>
        <w:rPr>
          <w:rFonts w:hint="eastAsia"/>
        </w:rPr>
      </w:pPr>
      <w:r>
        <w:rPr>
          <w:rFonts w:hint="eastAsia"/>
        </w:rPr>
        <w:t xml:space="preserve">在研究的大部分论文中，在引入方法之前，特别是身份验证和隐私保护措施，攻击没有得到充分的研究或以任何有意义的方式处理。</w:t>
      </w:r>
      <w:r>
        <w:rPr>
          <w:rFonts w:hint="eastAsia"/>
        </w:rPr>
        <w:t xml:space="preserve">  </w:t>
      </w:r>
      <w:r>
        <w:rPr>
          <w:rFonts w:hint="eastAsia"/>
        </w:rPr>
        <w:t xml:space="preserve">这些攻击对处于交互边缘的小工具的机密性构成严重威胁，因为它们可能泄露敏感信息。</w:t>
      </w:r>
    </w:p>
    <w:p>
      <w:pPr>
        <w:pStyle w:val="BodyText"/>
        <w:spacing w:line="372" w:lineRule="auto" w:before="2"/>
        <w:ind w:left="334" w:right="112"/>
        <w:rPr>
          <w:rFonts w:hint="eastAsia"/>
        </w:rPr>
      </w:pPr>
      <w:r>
        <w:rPr>
          <w:rFonts w:hint="eastAsia"/>
        </w:rPr>
        <w:t xml:space="preserve">入侵检测系统(IDS)用于识别和缓解多种类型的网络入侵。</w:t>
      </w:r>
      <w:r>
        <w:rPr>
          <w:rFonts w:hint="eastAsia"/>
        </w:rPr>
        <w:t xml:space="preserve">另一方面，当涉及到边缘计算时，入侵检测系统必须在边缘网络的每个层面(边缘节点、最终用户和云)上实现。</w:t>
      </w:r>
      <w:r>
        <w:rPr>
          <w:rFonts w:hint="eastAsia"/>
        </w:rPr>
        <w:t xml:space="preserve">如果IDS仅应用于一个或两个级别，则可能无法阻止恶意攻击在整个边缘网络中传播。</w:t>
      </w:r>
    </w:p>
    <w:p>
      <w:pPr>
        <w:spacing w:after="0" w:line="372" w:lineRule="auto"/>
        <w:sectPr>
          <w:pgSz w:w="12240" w:h="15840"/>
          <w:pgMar w:header="0" w:footer="704" w:top="1340" w:bottom="900" w:left="820" w:right="1160"/>
          <w:cols w:num="2" w:equalWidth="0">
            <w:col w:w="5087" w:space="40"/>
            <w:col w:w="5133"/>
          </w:cols>
        </w:sectPr>
      </w:pPr>
    </w:p>
    <w:p>
      <w:pPr>
        <w:pStyle w:val="ListParagraph"/>
        <w:numPr>
          <w:ilvl w:val="0"/>
          <w:numId w:val="1"/>
        </w:numPr>
        <w:tabs>
          <w:tab w:pos="2377" w:val="left" w:leader="none"/>
        </w:tabs>
        <w:spacing w:line="240" w:lineRule="auto" w:before="74" w:after="0"/>
        <w:ind w:left="2376" w:right="0" w:hanging="354"/>
        <w:jc w:val="left"/>
        <w:rPr>
          <w:sz w:val="15"/>
          <w:rFonts w:hint="eastAsia"/>
        </w:rPr>
      </w:pPr>
      <w:r>
        <w:rPr>
          <w:sz w:val="15"/>
          <w:rFonts w:hint="eastAsia"/>
        </w:rPr>
        <w:t xml:space="preserve">结论</w:t>
      </w:r>
    </w:p>
    <w:p>
      <w:pPr>
        <w:pStyle w:val="BodyText"/>
        <w:spacing w:line="372" w:lineRule="auto" w:before="82"/>
        <w:ind w:left="414" w:firstLine="670"/>
        <w:rPr>
          <w:rFonts w:hint="eastAsia"/>
        </w:rPr>
      </w:pPr>
      <w:r>
        <w:rPr>
          <w:rFonts w:hint="eastAsia"/>
        </w:rPr>
        <w:t xml:space="preserve">边缘计算范式有很大的希望，旨在消除云计算的几乎所有缺点。</w:t>
      </w:r>
      <w:r>
        <w:rPr>
          <w:rFonts w:hint="eastAsia"/>
        </w:rPr>
        <w:t xml:space="preserve">接受该条约的主要障碍之一是安全问题。</w:t>
      </w:r>
      <w:r>
        <w:rPr>
          <w:rFonts w:hint="eastAsia"/>
        </w:rPr>
        <w:t xml:space="preserve">因此，弄清楚如何处理这些问题至关重要。</w:t>
      </w:r>
      <w:r>
        <w:rPr>
          <w:rFonts w:hint="eastAsia"/>
        </w:rPr>
        <w:t xml:space="preserve">结果表明，在边缘计算安全和人工智能方面的综合文献综述是第一次。</w:t>
      </w:r>
      <w:r>
        <w:rPr>
          <w:rFonts w:hint="eastAsia"/>
        </w:rPr>
        <w:t xml:space="preserve">它的目标是提供对顶级安全的当前流程的完整和周到的掌握，以及方法所使用的尖端技术方法。</w:t>
      </w:r>
      <w:r>
        <w:rPr>
          <w:rFonts w:hint="eastAsia"/>
        </w:rPr>
        <w:t xml:space="preserve">鉴于此，总共有10篇论文使用正常的系统文献综述过程进行了广泛的检查。</w:t>
      </w:r>
      <w:r>
        <w:rPr>
          <w:rFonts w:hint="eastAsia"/>
        </w:rPr>
        <w:t xml:space="preserve">这些发现表明了对检索数据进行全面审查后得出的重要结论。</w:t>
      </w:r>
      <w:r>
        <w:rPr>
          <w:rFonts w:hint="eastAsia"/>
        </w:rPr>
        <w:t xml:space="preserve">根据这项研究的结果，在边缘计算的隐私和安全方面，有八个不同类别的标准需要考虑。</w:t>
      </w:r>
      <w:r>
        <w:rPr>
          <w:rFonts w:hint="eastAsia"/>
        </w:rPr>
        <w:t xml:space="preserve">其次，研究表明，除了完整性、不可否认性和可靠性之外，每个需求都有自己的一套专门为其构建的方法，这些方法都在四个单独的方案中进行了评估。</w:t>
      </w:r>
      <w:r>
        <w:rPr>
          <w:rFonts w:hint="eastAsia"/>
        </w:rPr>
        <w:t xml:space="preserve">最后，为了确定趋势，研究结果将发现的程序按其相关的技术方式进行分类。</w:t>
      </w:r>
      <w:r>
        <w:rPr>
          <w:rFonts w:hint="eastAsia"/>
        </w:rPr>
        <w:t xml:space="preserve">第四，综述工作发现了每种方法的局限性，为未来学者的研究前景奠定了基础。</w:t>
      </w:r>
      <w:r>
        <w:rPr>
          <w:rFonts w:hint="eastAsia"/>
        </w:rPr>
        <w:t xml:space="preserve">此外，还发现，在某种需要下的每一类程序都有不同的衡量其有效性的标准，以便实现特定的目标。</w:t>
      </w:r>
      <w:r>
        <w:rPr>
          <w:rFonts w:hint="eastAsia"/>
        </w:rPr>
        <w:t xml:space="preserve">最后，为了对使用人工智能研究边缘计算安全性感兴趣的学者的优势，提到了未来研究的开放性问题。</w:t>
      </w:r>
    </w:p>
    <w:p>
      <w:pPr>
        <w:pStyle w:val="ListParagraph"/>
        <w:numPr>
          <w:ilvl w:val="0"/>
          <w:numId w:val="1"/>
        </w:numPr>
        <w:tabs>
          <w:tab w:pos="2005" w:val="left" w:leader="none"/>
        </w:tabs>
        <w:spacing w:line="240" w:lineRule="auto" w:before="77" w:after="0"/>
        <w:ind w:left="2004" w:right="0" w:hanging="385"/>
        <w:jc w:val="left"/>
        <w:rPr>
          <w:sz w:val="15"/>
          <w:rFonts w:hint="eastAsia"/>
        </w:rPr>
      </w:pPr>
      <w:r>
        <w:rPr>
          <w:rFonts w:hint="eastAsia"/>
        </w:rPr>
        <w:br w:type="column"/>
      </w:r>
      <w:r>
        <w:rPr>
          <w:sz w:val="18"/>
          <w:rFonts w:hint="eastAsia"/>
        </w:rPr>
        <w:t xml:space="preserve">鸣</w:t>
      </w:r>
      <w:r>
        <w:rPr>
          <w:sz w:val="15"/>
          <w:rFonts w:hint="eastAsia"/>
        </w:rPr>
        <w:t xml:space="preserve">谢</w:t>
      </w:r>
    </w:p>
    <w:p>
      <w:pPr>
        <w:pStyle w:val="BodyText"/>
        <w:spacing w:before="8"/>
        <w:jc w:val="left"/>
        <w:rPr>
          <w:sz w:val="25"/>
        </w:rPr>
      </w:pPr>
    </w:p>
    <w:p>
      <w:pPr>
        <w:pStyle w:val="BodyText"/>
        <w:spacing w:line="247" w:lineRule="auto"/>
        <w:ind w:left="319" w:right="203"/>
        <w:jc w:val="left"/>
        <w:rPr>
          <w:rFonts w:hint="eastAsia"/>
        </w:rPr>
      </w:pPr>
      <w:r>
        <w:rPr>
          <w:rFonts w:hint="eastAsia"/>
        </w:rPr>
        <w:t xml:space="preserve">我们想了解人工智能和物联网研究中心，人工智能和机器人研究所，近东大学和格雷斯之门有限责任公司。</w:t>
      </w:r>
    </w:p>
    <w:p>
      <w:pPr>
        <w:pStyle w:val="BodyText"/>
        <w:jc w:val="left"/>
        <w:rPr>
          <w:sz w:val="20"/>
        </w:rPr>
      </w:pPr>
    </w:p>
    <w:p>
      <w:pPr>
        <w:pStyle w:val="ListParagraph"/>
        <w:numPr>
          <w:ilvl w:val="0"/>
          <w:numId w:val="1"/>
        </w:numPr>
        <w:tabs>
          <w:tab w:pos="2296" w:val="left" w:leader="none"/>
        </w:tabs>
        <w:spacing w:line="240" w:lineRule="auto" w:before="137" w:after="0"/>
        <w:ind w:left="2295" w:right="0" w:hanging="323"/>
        <w:jc w:val="left"/>
        <w:rPr>
          <w:sz w:val="15"/>
          <w:rFonts w:hint="eastAsia"/>
        </w:rPr>
      </w:pPr>
      <w:r>
        <w:rPr>
          <w:sz w:val="15"/>
          <w:rFonts w:hint="eastAsia"/>
        </w:rPr>
        <w:t xml:space="preserve">参考文献</w:t>
      </w:r>
    </w:p>
    <w:p>
      <w:pPr>
        <w:pStyle w:val="ListParagraph"/>
        <w:numPr>
          <w:ilvl w:val="0"/>
          <w:numId w:val="4"/>
        </w:numPr>
        <w:tabs>
          <w:tab w:pos="917" w:val="left" w:leader="none"/>
        </w:tabs>
        <w:spacing w:line="247" w:lineRule="auto" w:before="81" w:after="0"/>
        <w:ind w:left="916" w:right="113" w:hanging="597"/>
        <w:jc w:val="both"/>
        <w:rPr>
          <w:sz w:val="18"/>
          <w:rFonts w:hint="eastAsia"/>
        </w:rPr>
      </w:pPr>
      <w:r>
        <w:rPr>
          <w:sz w:val="18"/>
          <w:rFonts w:hint="eastAsia"/>
        </w:rPr>
        <w:t xml:space="preserve">C. Livadas, R. Walsh, D. Lapsley和W. T. Strayer，“使用机器学习技术识别僵尸网络流量”，Proc。</w:t>
      </w:r>
      <w:r>
        <w:rPr>
          <w:sz w:val="18"/>
          <w:i/>
          <w:rFonts w:hint="eastAsia"/>
        </w:rPr>
        <w:t xml:space="preserve">——相依。</w:t>
      </w:r>
      <w:r>
        <w:rPr>
          <w:sz w:val="18"/>
          <w:i/>
          <w:rFonts w:hint="eastAsia"/>
        </w:rPr>
        <w:t xml:space="preserve">当地的第一版。</w:t>
      </w:r>
      <w:r>
        <w:rPr>
          <w:sz w:val="18"/>
          <w:i/>
          <w:rFonts w:hint="eastAsia"/>
        </w:rPr>
        <w:t xml:space="preserve">《网络》，LCN, 967-974页，2006,doi:</w:t>
      </w:r>
      <w:r>
        <w:rPr>
          <w:sz w:val="18"/>
          <w:rFonts w:hint="eastAsia"/>
        </w:rPr>
        <w:t xml:space="preserve"> </w:t>
      </w:r>
      <w:r>
        <w:rPr>
          <w:sz w:val="18"/>
          <w:rFonts w:hint="eastAsia"/>
        </w:rPr>
        <w:t xml:space="preserve">10.1109 / LCN.2006.322210。</w:t>
      </w:r>
    </w:p>
    <w:p>
      <w:pPr>
        <w:pStyle w:val="ListParagraph"/>
        <w:numPr>
          <w:ilvl w:val="0"/>
          <w:numId w:val="4"/>
        </w:numPr>
        <w:tabs>
          <w:tab w:pos="917" w:val="left" w:leader="none"/>
        </w:tabs>
        <w:spacing w:line="247" w:lineRule="auto" w:before="3" w:after="0"/>
        <w:ind w:left="916" w:right="110" w:hanging="597"/>
        <w:jc w:val="both"/>
        <w:rPr>
          <w:sz w:val="18"/>
          <w:rFonts w:hint="eastAsia"/>
        </w:rPr>
      </w:pPr>
      <w:r>
        <w:rPr>
          <w:sz w:val="18"/>
          <w:rFonts w:hint="eastAsia"/>
        </w:rPr>
        <w:t xml:space="preserve">F. X. Ming, R. A. Ariyaluran Habeeb, F. H. B. Md Nasaruddin, A. Bin Gani，“基于物联网的实时二氧化碳监测&amp;;云技术”，ACM Int。相依。</w:t>
      </w:r>
      <w:r>
        <w:rPr>
          <w:sz w:val="18"/>
          <w:i/>
          <w:rFonts w:hint="eastAsia"/>
        </w:rPr>
        <w:t xml:space="preserve">  </w:t>
      </w:r>
      <w:r>
        <w:rPr>
          <w:sz w:val="18"/>
          <w:i/>
          <w:rFonts w:hint="eastAsia"/>
        </w:rPr>
        <w:t xml:space="preserve">爵士。， vol. Part F147956, pp.</w:t>
      </w:r>
      <w:r>
        <w:rPr>
          <w:sz w:val="18"/>
          <w:rFonts w:hint="eastAsia"/>
        </w:rPr>
        <w:t xml:space="preserve"> 517-521, 2019, doi:</w:t>
      </w:r>
      <w:r>
        <w:rPr>
          <w:sz w:val="18"/>
          <w:rFonts w:hint="eastAsia"/>
        </w:rPr>
        <w:t xml:space="preserve"> </w:t>
      </w:r>
      <w:r>
        <w:rPr>
          <w:sz w:val="18"/>
          <w:rFonts w:hint="eastAsia"/>
        </w:rPr>
        <w:t xml:space="preserve">10.1145/3316615.3316622。</w:t>
      </w:r>
    </w:p>
    <w:p>
      <w:pPr>
        <w:pStyle w:val="ListParagraph"/>
        <w:numPr>
          <w:ilvl w:val="0"/>
          <w:numId w:val="4"/>
        </w:numPr>
        <w:tabs>
          <w:tab w:pos="917" w:val="left" w:leader="none"/>
        </w:tabs>
        <w:spacing w:line="249" w:lineRule="auto" w:before="6" w:after="0"/>
        <w:ind w:left="916" w:right="110" w:hanging="597"/>
        <w:jc w:val="both"/>
        <w:rPr>
          <w:sz w:val="18"/>
          <w:rFonts w:hint="eastAsia"/>
        </w:rPr>
      </w:pPr>
      <w:r>
        <w:rPr>
          <w:sz w:val="18"/>
          <w:rFonts w:hint="eastAsia"/>
        </w:rPr>
        <w:t xml:space="preserve">肖彦，贾彦，刘春春，程晓霞，余健，吕伟，“边缘计算安全:</w:t>
      </w:r>
      <w:r>
        <w:rPr>
          <w:sz w:val="18"/>
          <w:rFonts w:hint="eastAsia"/>
        </w:rPr>
        <w:t xml:space="preserve"> </w:t>
      </w:r>
      <w:r>
        <w:rPr>
          <w:sz w:val="18"/>
          <w:rFonts w:hint="eastAsia"/>
        </w:rPr>
        <w:t xml:space="preserve">《最新技术与挑战》，诉讼程</w:t>
      </w:r>
      <w:r>
        <w:rPr>
          <w:sz w:val="18"/>
          <w:i/>
          <w:rFonts w:hint="eastAsia"/>
        </w:rPr>
        <w:t xml:space="preserve">序。</w:t>
      </w:r>
      <w:r>
        <w:rPr>
          <w:sz w:val="18"/>
          <w:i/>
          <w:rFonts w:hint="eastAsia"/>
        </w:rPr>
        <w:t xml:space="preserve">IEEE, 2019, </w:t>
      </w:r>
      <w:r>
        <w:rPr>
          <w:sz w:val="18"/>
          <w:rFonts w:hint="eastAsia"/>
        </w:rPr>
        <w:t xml:space="preserve">doi:</w:t>
      </w:r>
      <w:r>
        <w:rPr>
          <w:sz w:val="18"/>
          <w:rFonts w:hint="eastAsia"/>
        </w:rPr>
        <w:t xml:space="preserve"> </w:t>
      </w:r>
      <w:r>
        <w:rPr>
          <w:sz w:val="18"/>
          <w:rFonts w:hint="eastAsia"/>
        </w:rPr>
        <w:t xml:space="preserve">10.1109 / JPROC.2019.2918437。</w:t>
      </w:r>
    </w:p>
    <w:p>
      <w:pPr>
        <w:pStyle w:val="ListParagraph"/>
        <w:numPr>
          <w:ilvl w:val="0"/>
          <w:numId w:val="4"/>
        </w:numPr>
        <w:tabs>
          <w:tab w:pos="917" w:val="left" w:leader="none"/>
        </w:tabs>
        <w:spacing w:line="249" w:lineRule="auto" w:before="0" w:after="0"/>
        <w:ind w:left="916" w:right="112" w:hanging="597"/>
        <w:jc w:val="both"/>
        <w:rPr>
          <w:sz w:val="18"/>
          <w:rFonts w:hint="eastAsia"/>
        </w:rPr>
      </w:pPr>
      <w:r>
        <w:rPr>
          <w:sz w:val="18"/>
          <w:rFonts w:hint="eastAsia"/>
        </w:rPr>
        <w:t xml:space="preserve">陈峰，夏霞，陈峰，何琪，金宏，“基于边缘计算的应用程序数据分布”，电子工程学</w:t>
      </w:r>
      <w:r>
        <w:rPr>
          <w:sz w:val="18"/>
          <w:i/>
          <w:rFonts w:hint="eastAsia"/>
        </w:rPr>
        <w:t xml:space="preserve">报。</w:t>
      </w:r>
      <w:r>
        <w:rPr>
          <w:sz w:val="18"/>
          <w:i/>
          <w:rFonts w:hint="eastAsia"/>
        </w:rPr>
        <w:t xml:space="preserve">Distrib平行。</w:t>
      </w:r>
      <w:r>
        <w:rPr>
          <w:sz w:val="18"/>
          <w:i/>
          <w:rFonts w:hint="eastAsia"/>
        </w:rPr>
        <w:t xml:space="preserve">系统。，第32</w:t>
      </w:r>
      <w:r>
        <w:rPr>
          <w:sz w:val="18"/>
          <w:rFonts w:hint="eastAsia"/>
        </w:rPr>
        <w:t xml:space="preserve">卷，第2期。1, pp. 31-44, january 2021, doi:</w:t>
      </w:r>
      <w:r>
        <w:rPr>
          <w:sz w:val="18"/>
          <w:rFonts w:hint="eastAsia"/>
        </w:rPr>
        <w:t xml:space="preserve"> </w:t>
      </w:r>
      <w:r>
        <w:rPr>
          <w:sz w:val="18"/>
          <w:rFonts w:hint="eastAsia"/>
        </w:rPr>
        <w:t xml:space="preserve">10.1109 / TPDS.2020.3010521。</w:t>
      </w:r>
    </w:p>
    <w:p>
      <w:pPr>
        <w:pStyle w:val="ListParagraph"/>
        <w:numPr>
          <w:ilvl w:val="0"/>
          <w:numId w:val="4"/>
        </w:numPr>
        <w:tabs>
          <w:tab w:pos="917" w:val="left" w:leader="none"/>
        </w:tabs>
        <w:spacing w:line="247" w:lineRule="auto" w:before="0" w:after="0"/>
        <w:ind w:left="916" w:right="110" w:hanging="597"/>
        <w:jc w:val="both"/>
        <w:rPr>
          <w:sz w:val="18"/>
          <w:rFonts w:hint="eastAsia"/>
        </w:rPr>
      </w:pPr>
      <w:r>
        <w:rPr>
          <w:sz w:val="18"/>
          <w:rFonts w:hint="eastAsia"/>
        </w:rPr>
        <w:t xml:space="preserve">史伟和S. Dustdar，“边缘计算的前景”，计算机(长)。</w:t>
      </w:r>
      <w:r>
        <w:rPr>
          <w:sz w:val="18"/>
          <w:i/>
          <w:rFonts w:hint="eastAsia"/>
        </w:rPr>
        <w:t xml:space="preserve">海滩。</w:t>
      </w:r>
      <w:r>
        <w:rPr>
          <w:sz w:val="18"/>
          <w:i/>
          <w:rFonts w:hint="eastAsia"/>
        </w:rPr>
        <w:t xml:space="preserve">加州)。，第49卷</w:t>
      </w:r>
      <w:r>
        <w:rPr>
          <w:sz w:val="18"/>
          <w:rFonts w:hint="eastAsia"/>
        </w:rPr>
        <w:t xml:space="preserve">，no。5, pp. 78-81, 2016年5月，doi:</w:t>
      </w:r>
      <w:r>
        <w:rPr>
          <w:sz w:val="18"/>
          <w:rFonts w:hint="eastAsia"/>
        </w:rPr>
        <w:t xml:space="preserve"> </w:t>
      </w:r>
      <w:r>
        <w:rPr>
          <w:sz w:val="18"/>
          <w:rFonts w:hint="eastAsia"/>
        </w:rPr>
        <w:t xml:space="preserve">10.1109 / MC.2016.145。</w:t>
      </w:r>
    </w:p>
    <w:p>
      <w:pPr>
        <w:pStyle w:val="ListParagraph"/>
        <w:numPr>
          <w:ilvl w:val="0"/>
          <w:numId w:val="4"/>
        </w:numPr>
        <w:tabs>
          <w:tab w:pos="917" w:val="left" w:leader="none"/>
        </w:tabs>
        <w:spacing w:line="247" w:lineRule="auto" w:before="0" w:after="0"/>
        <w:ind w:left="916" w:right="110" w:hanging="597"/>
        <w:jc w:val="both"/>
        <w:rPr>
          <w:sz w:val="18"/>
          <w:rFonts w:hint="eastAsia"/>
        </w:rPr>
      </w:pPr>
      <w:r>
        <w:rPr>
          <w:sz w:val="18"/>
          <w:rFonts w:hint="eastAsia"/>
        </w:rPr>
        <w:t xml:space="preserve">P. K. Manadhata和J. M. Wing，“系统攻击面的形式化模型”，HP实验室。</w:t>
      </w:r>
      <w:r>
        <w:rPr>
          <w:sz w:val="18"/>
          <w:i/>
          <w:rFonts w:hint="eastAsia"/>
        </w:rPr>
        <w:t xml:space="preserve">技术。</w:t>
      </w:r>
      <w:r>
        <w:rPr>
          <w:sz w:val="18"/>
          <w:i/>
          <w:rFonts w:hint="eastAsia"/>
        </w:rPr>
        <w:t xml:space="preserve">没有代</w:t>
      </w:r>
      <w:r>
        <w:rPr>
          <w:sz w:val="18"/>
          <w:rFonts w:hint="eastAsia"/>
        </w:rPr>
        <w:t xml:space="preserve">表。115, pp. 1-28, 2011, doi:</w:t>
      </w:r>
      <w:r>
        <w:rPr>
          <w:sz w:val="18"/>
          <w:rFonts w:hint="eastAsia"/>
        </w:rPr>
        <w:t xml:space="preserve"> </w:t>
      </w:r>
      <w:r>
        <w:rPr>
          <w:sz w:val="18"/>
          <w:rFonts w:hint="eastAsia"/>
        </w:rPr>
        <w:t xml:space="preserve">10.1007 / 978-1-4614 - 0977 - 9 - _1。</w:t>
      </w:r>
    </w:p>
    <w:p>
      <w:pPr>
        <w:pStyle w:val="ListParagraph"/>
        <w:numPr>
          <w:ilvl w:val="0"/>
          <w:numId w:val="4"/>
        </w:numPr>
        <w:tabs>
          <w:tab w:pos="917" w:val="left" w:leader="none"/>
        </w:tabs>
        <w:spacing w:line="247" w:lineRule="auto" w:before="0" w:after="0"/>
        <w:ind w:left="916" w:right="109" w:hanging="597"/>
        <w:jc w:val="both"/>
        <w:rPr>
          <w:sz w:val="18"/>
          <w:rFonts w:hint="eastAsia"/>
        </w:rPr>
      </w:pPr>
      <w:r>
        <w:rPr>
          <w:sz w:val="18"/>
          <w:rFonts w:hint="eastAsia"/>
        </w:rPr>
        <w:t xml:space="preserve">P. </w:t>
      </w:r>
      <w:r>
        <w:rPr>
          <w:sz w:val="18"/>
          <w:i/>
          <w:rFonts w:hint="eastAsia"/>
        </w:rPr>
        <w:t xml:space="preserve">Lai </w:t>
      </w:r>
      <w:r>
        <w:rPr>
          <w:sz w:val="18"/>
          <w:rFonts w:hint="eastAsia"/>
        </w:rPr>
        <w:t xml:space="preserve">et al.，“可变大小向量装箱边缘计算的最优边缘用户分配”，选。</w:t>
      </w:r>
      <w:r>
        <w:rPr>
          <w:sz w:val="18"/>
          <w:i/>
          <w:rFonts w:hint="eastAsia"/>
        </w:rPr>
        <w:t xml:space="preserve">指出第一版。</w:t>
      </w:r>
      <w:r>
        <w:rPr>
          <w:sz w:val="18"/>
          <w:i/>
          <w:rFonts w:hint="eastAsia"/>
        </w:rPr>
        <w:t xml:space="preserve">科学。</w:t>
      </w:r>
      <w:r>
        <w:rPr>
          <w:sz w:val="18"/>
          <w:i/>
          <w:rFonts w:hint="eastAsia"/>
        </w:rPr>
        <w:t xml:space="preserve">(包括潜艇。</w:t>
      </w:r>
      <w:r>
        <w:rPr>
          <w:sz w:val="18"/>
          <w:i/>
          <w:rFonts w:hint="eastAsia"/>
        </w:rPr>
        <w:t xml:space="preserve">  </w:t>
      </w:r>
      <w:r>
        <w:rPr>
          <w:sz w:val="18"/>
          <w:i/>
          <w:rFonts w:hint="eastAsia"/>
        </w:rPr>
        <w:t xml:space="preserve">收。</w:t>
      </w:r>
      <w:r>
        <w:rPr>
          <w:sz w:val="18"/>
          <w:i/>
          <w:rFonts w:hint="eastAsia"/>
        </w:rPr>
        <w:t xml:space="preserve">  </w:t>
      </w:r>
      <w:r>
        <w:rPr>
          <w:sz w:val="18"/>
          <w:i/>
          <w:rFonts w:hint="eastAsia"/>
        </w:rPr>
        <w:t xml:space="preserve">Artif指出。</w:t>
      </w:r>
      <w:r>
        <w:rPr>
          <w:sz w:val="18"/>
          <w:i/>
          <w:rFonts w:hint="eastAsia"/>
        </w:rPr>
        <w:t xml:space="preserve">智能。</w:t>
      </w:r>
      <w:r>
        <w:rPr>
          <w:sz w:val="18"/>
          <w:i/>
          <w:rFonts w:hint="eastAsia"/>
        </w:rPr>
        <w:t xml:space="preserve">收。</w:t>
      </w:r>
      <w:r>
        <w:rPr>
          <w:sz w:val="18"/>
          <w:i/>
          <w:rFonts w:hint="eastAsia"/>
        </w:rPr>
        <w:t xml:space="preserve">《生物信息学》，vol. 11236 LNCS, pp. 230-245,</w:t>
      </w:r>
      <w:r>
        <w:rPr>
          <w:sz w:val="18"/>
          <w:rFonts w:hint="eastAsia"/>
        </w:rPr>
        <w:t xml:space="preserve"> 2018, doi:</w:t>
      </w:r>
      <w:r>
        <w:rPr>
          <w:sz w:val="18"/>
          <w:rFonts w:hint="eastAsia"/>
        </w:rPr>
        <w:t xml:space="preserve"> </w:t>
      </w:r>
      <w:r>
        <w:rPr>
          <w:sz w:val="18"/>
          <w:rFonts w:hint="eastAsia"/>
        </w:rPr>
        <w:t xml:space="preserve">10.1007 / 978 - 3 - 030 - 03596 - 9 - _15。</w:t>
      </w:r>
    </w:p>
    <w:p>
      <w:pPr>
        <w:pStyle w:val="ListParagraph"/>
        <w:numPr>
          <w:ilvl w:val="0"/>
          <w:numId w:val="4"/>
        </w:numPr>
        <w:tabs>
          <w:tab w:pos="917" w:val="left" w:leader="none"/>
          <w:tab w:pos="1906" w:val="left" w:leader="none"/>
          <w:tab w:pos="3543" w:val="left" w:leader="none"/>
          <w:tab w:pos="4718" w:val="left" w:leader="none"/>
        </w:tabs>
        <w:spacing w:line="247" w:lineRule="auto" w:before="3" w:after="0"/>
        <w:ind w:left="916" w:right="110" w:hanging="597"/>
        <w:jc w:val="both"/>
        <w:rPr>
          <w:sz w:val="18"/>
          <w:rFonts w:hint="eastAsia"/>
        </w:rPr>
      </w:pPr>
      <w:r>
        <w:rPr>
          <w:sz w:val="18"/>
          <w:rFonts w:hint="eastAsia"/>
        </w:rPr>
        <w:t xml:space="preserve">林俊，余伟，张宁，杨晓霞，张宏，赵伟，“物联网研究综述”</w:t>
      </w:r>
      <w:r>
        <w:rPr>
          <w:sz w:val="18"/>
          <w:rFonts w:hint="eastAsia"/>
        </w:rPr>
        <w:t xml:space="preserve">架构、使能技术、安全和隐私与应用，”IEEE物联网学报，第4卷，第1期。5,</w:t>
      </w:r>
      <w:r>
        <w:rPr>
          <w:sz w:val="18"/>
          <w:i/>
          <w:rFonts w:hint="eastAsia"/>
        </w:rPr>
        <w:t xml:space="preserve"> pp. 1125-1142, 2017, doi:</w:t>
      </w:r>
      <w:r>
        <w:rPr>
          <w:sz w:val="18"/>
          <w:rFonts w:hint="eastAsia"/>
        </w:rPr>
        <w:t xml:space="preserve"> </w:t>
      </w:r>
      <w:r>
        <w:rPr>
          <w:sz w:val="18"/>
          <w:rFonts w:hint="eastAsia"/>
        </w:rPr>
        <w:t xml:space="preserve">10.1109 / JIOT.2017.2683200。</w:t>
      </w:r>
    </w:p>
    <w:sectPr>
      <w:pgSz w:w="12240" w:h="15840"/>
      <w:pgMar w:header="0" w:footer="704" w:top="1340" w:bottom="900" w:left="820" w:right="1160"/>
      <w:cols w:num="2" w:equalWidth="0">
        <w:col w:w="5101" w:space="40"/>
        <w:col w:w="51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38.10751pt;margin-top:753.815979pt;width:533.9pt;height:18.8pt;mso-position-horizontal-relative:page;mso-position-vertical-relative:page;z-index:-15836672" type="#_x0000_t202" filled="false" stroked="false">
          <v:textbox inset="0,0,0,0">
            <w:txbxContent>
              <w:p>
                <w:pPr>
                  <w:spacing w:line="182" w:lineRule="exact" w:before="14"/>
                  <w:ind w:left="157" w:right="0" w:firstLine="0"/>
                  <w:jc w:val="left"/>
                  <w:rPr>
                    <w:sz w:val="16"/>
                    <w:rFonts w:hint="eastAsia"/>
                  </w:rPr>
                </w:pPr>
                <w:r>
                  <w:rPr>
                    <w:sz w:val="16"/>
                    <w:rFonts w:hint="eastAsia"/>
                  </w:rPr>
                  <w:t xml:space="preserve">DOI 10.1109 / AIE57029.2022.00091</w:t>
                </w:r>
              </w:p>
              <w:p>
                <w:pPr>
                  <w:spacing w:line="159" w:lineRule="exact" w:before="0"/>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下载于2023年7月17日02:21:23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Fonts w:hint="eastAsia"/>
      </w:rPr>
    </w:pPr>
    <w:r>
      <w:rPr>
        <w:rFonts w:hint="eastAsia"/>
      </w:rPr>
      <w:pict>
        <v:shape style="position:absolute;margin-left:297pt;margin-top:745.815979pt;width:18pt;height:10.95pt;mso-position-horizontal-relative:page;mso-position-vertical-relative:page;z-index:-15836160" type="#_x0000_t202" filled="false" stroked="false">
          <v:textbox inset="0,0,0,0">
            <w:txbxContent>
              <w:p>
                <w:pPr>
                  <w:spacing w:before="14"/>
                  <w:ind w:left="60" w:right="0" w:firstLine="0"/>
                  <w:jc w:val="left"/>
                  <w:rPr>
                    <w:sz w:val="16"/>
                    <w:rFonts w:hint="eastAsia"/>
                  </w:rPr>
                </w:pPr>
                <w:r>
                  <w:rPr/>
                  <w:fldChar w:fldCharType="begin"/>
                </w:r>
                <w:r>
                  <w:rPr>
                    <w:sz w:val="16"/>
                    <w:rFonts w:hint="eastAsia"/>
                  </w:rPr>
                  <w:instrText> PAGE </w:instrText>
                </w:r>
                <w:r>
                  <w:rPr/>
                  <w:fldChar w:fldCharType="separate"/>
                </w:r>
                <w:r>
                  <w:rPr/>
                  <w:t>447</w:t>
                </w:r>
                <w:r>
                  <w:rPr/>
                  <w:fldChar w:fldCharType="end"/>
                </w:r>
              </w:p>
            </w:txbxContent>
          </v:textbox>
          <w10:wrap type="none"/>
        </v:shape>
      </w:pict>
    </w:r>
    <w:r>
      <w:rPr>
        <w:rFonts w:hint="eastAsia"/>
      </w:rPr>
      <w:pict>
        <v:shape style="position:absolute;margin-left:38.10751pt;margin-top:762.755066pt;width:533.9pt;height:9.85pt;mso-position-horizontal-relative:page;mso-position-vertical-relative:page;z-index:-15835648"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下载于2023年7月17日02:21:23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16" w:hanging="597"/>
        <w:jc w:val="left"/>
      </w:pPr>
      <w:rPr>
        <w:rFonts w:hint="default" w:ascii="Times New Roman" w:hAnsi="Times New Roman" w:eastAsia="Times New Roman" w:cs="Times New Roman"/>
        <w:w w:val="102"/>
        <w:sz w:val="18"/>
        <w:szCs w:val="18"/>
        <w:lang w:val="en-US" w:eastAsia="en-US" w:bidi="ar-SA"/>
      </w:rPr>
    </w:lvl>
    <w:lvl w:ilvl="1">
      <w:start w:val="0"/>
      <w:numFmt w:val="bullet"/>
      <w:lvlText w:val="•"/>
      <w:lvlJc w:val="left"/>
      <w:pPr>
        <w:ind w:left="1339" w:hanging="597"/>
      </w:pPr>
      <w:rPr>
        <w:rFonts w:hint="default"/>
        <w:lang w:val="en-US" w:eastAsia="en-US" w:bidi="ar-SA"/>
      </w:rPr>
    </w:lvl>
    <w:lvl w:ilvl="2">
      <w:start w:val="0"/>
      <w:numFmt w:val="bullet"/>
      <w:lvlText w:val="•"/>
      <w:lvlJc w:val="left"/>
      <w:pPr>
        <w:ind w:left="1759" w:hanging="597"/>
      </w:pPr>
      <w:rPr>
        <w:rFonts w:hint="default"/>
        <w:lang w:val="en-US" w:eastAsia="en-US" w:bidi="ar-SA"/>
      </w:rPr>
    </w:lvl>
    <w:lvl w:ilvl="3">
      <w:start w:val="0"/>
      <w:numFmt w:val="bullet"/>
      <w:lvlText w:val="•"/>
      <w:lvlJc w:val="left"/>
      <w:pPr>
        <w:ind w:left="2179" w:hanging="597"/>
      </w:pPr>
      <w:rPr>
        <w:rFonts w:hint="default"/>
        <w:lang w:val="en-US" w:eastAsia="en-US" w:bidi="ar-SA"/>
      </w:rPr>
    </w:lvl>
    <w:lvl w:ilvl="4">
      <w:start w:val="0"/>
      <w:numFmt w:val="bullet"/>
      <w:lvlText w:val="•"/>
      <w:lvlJc w:val="left"/>
      <w:pPr>
        <w:ind w:left="2599" w:hanging="597"/>
      </w:pPr>
      <w:rPr>
        <w:rFonts w:hint="default"/>
        <w:lang w:val="en-US" w:eastAsia="en-US" w:bidi="ar-SA"/>
      </w:rPr>
    </w:lvl>
    <w:lvl w:ilvl="5">
      <w:start w:val="0"/>
      <w:numFmt w:val="bullet"/>
      <w:lvlText w:val="•"/>
      <w:lvlJc w:val="left"/>
      <w:pPr>
        <w:ind w:left="3019" w:hanging="597"/>
      </w:pPr>
      <w:rPr>
        <w:rFonts w:hint="default"/>
        <w:lang w:val="en-US" w:eastAsia="en-US" w:bidi="ar-SA"/>
      </w:rPr>
    </w:lvl>
    <w:lvl w:ilvl="6">
      <w:start w:val="0"/>
      <w:numFmt w:val="bullet"/>
      <w:lvlText w:val="•"/>
      <w:lvlJc w:val="left"/>
      <w:pPr>
        <w:ind w:left="3439" w:hanging="597"/>
      </w:pPr>
      <w:rPr>
        <w:rFonts w:hint="default"/>
        <w:lang w:val="en-US" w:eastAsia="en-US" w:bidi="ar-SA"/>
      </w:rPr>
    </w:lvl>
    <w:lvl w:ilvl="7">
      <w:start w:val="0"/>
      <w:numFmt w:val="bullet"/>
      <w:lvlText w:val="•"/>
      <w:lvlJc w:val="left"/>
      <w:pPr>
        <w:ind w:left="3859" w:hanging="597"/>
      </w:pPr>
      <w:rPr>
        <w:rFonts w:hint="default"/>
        <w:lang w:val="en-US" w:eastAsia="en-US" w:bidi="ar-SA"/>
      </w:rPr>
    </w:lvl>
    <w:lvl w:ilvl="8">
      <w:start w:val="0"/>
      <w:numFmt w:val="bullet"/>
      <w:lvlText w:val="•"/>
      <w:lvlJc w:val="left"/>
      <w:pPr>
        <w:ind w:left="4279" w:hanging="597"/>
      </w:pPr>
      <w:rPr>
        <w:rFonts w:hint="default"/>
        <w:lang w:val="en-US" w:eastAsia="en-US" w:bidi="ar-SA"/>
      </w:rPr>
    </w:lvl>
  </w:abstractNum>
  <w:abstractNum w:abstractNumId="2">
    <w:multiLevelType w:val="hybridMultilevel"/>
    <w:lvl w:ilvl="0">
      <w:start w:val="0"/>
      <w:numFmt w:val="bullet"/>
      <w:lvlText w:val="-"/>
      <w:lvlJc w:val="left"/>
      <w:pPr>
        <w:ind w:left="334" w:hanging="110"/>
      </w:pPr>
      <w:rPr>
        <w:rFonts w:hint="default" w:ascii="Times New Roman" w:hAnsi="Times New Roman" w:eastAsia="Times New Roman" w:cs="Times New Roman"/>
        <w:w w:val="102"/>
        <w:sz w:val="18"/>
        <w:szCs w:val="18"/>
        <w:lang w:val="en-US" w:eastAsia="en-US" w:bidi="ar-SA"/>
      </w:rPr>
    </w:lvl>
    <w:lvl w:ilvl="1">
      <w:start w:val="0"/>
      <w:numFmt w:val="bullet"/>
      <w:lvlText w:val="•"/>
      <w:lvlJc w:val="left"/>
      <w:pPr>
        <w:ind w:left="819" w:hanging="110"/>
      </w:pPr>
      <w:rPr>
        <w:rFonts w:hint="default"/>
        <w:lang w:val="en-US" w:eastAsia="en-US" w:bidi="ar-SA"/>
      </w:rPr>
    </w:lvl>
    <w:lvl w:ilvl="2">
      <w:start w:val="0"/>
      <w:numFmt w:val="bullet"/>
      <w:lvlText w:val="•"/>
      <w:lvlJc w:val="left"/>
      <w:pPr>
        <w:ind w:left="1298" w:hanging="110"/>
      </w:pPr>
      <w:rPr>
        <w:rFonts w:hint="default"/>
        <w:lang w:val="en-US" w:eastAsia="en-US" w:bidi="ar-SA"/>
      </w:rPr>
    </w:lvl>
    <w:lvl w:ilvl="3">
      <w:start w:val="0"/>
      <w:numFmt w:val="bullet"/>
      <w:lvlText w:val="•"/>
      <w:lvlJc w:val="left"/>
      <w:pPr>
        <w:ind w:left="1778" w:hanging="110"/>
      </w:pPr>
      <w:rPr>
        <w:rFonts w:hint="default"/>
        <w:lang w:val="en-US" w:eastAsia="en-US" w:bidi="ar-SA"/>
      </w:rPr>
    </w:lvl>
    <w:lvl w:ilvl="4">
      <w:start w:val="0"/>
      <w:numFmt w:val="bullet"/>
      <w:lvlText w:val="•"/>
      <w:lvlJc w:val="left"/>
      <w:pPr>
        <w:ind w:left="2257" w:hanging="110"/>
      </w:pPr>
      <w:rPr>
        <w:rFonts w:hint="default"/>
        <w:lang w:val="en-US" w:eastAsia="en-US" w:bidi="ar-SA"/>
      </w:rPr>
    </w:lvl>
    <w:lvl w:ilvl="5">
      <w:start w:val="0"/>
      <w:numFmt w:val="bullet"/>
      <w:lvlText w:val="•"/>
      <w:lvlJc w:val="left"/>
      <w:pPr>
        <w:ind w:left="2737" w:hanging="110"/>
      </w:pPr>
      <w:rPr>
        <w:rFonts w:hint="default"/>
        <w:lang w:val="en-US" w:eastAsia="en-US" w:bidi="ar-SA"/>
      </w:rPr>
    </w:lvl>
    <w:lvl w:ilvl="6">
      <w:start w:val="0"/>
      <w:numFmt w:val="bullet"/>
      <w:lvlText w:val="•"/>
      <w:lvlJc w:val="left"/>
      <w:pPr>
        <w:ind w:left="3216" w:hanging="110"/>
      </w:pPr>
      <w:rPr>
        <w:rFonts w:hint="default"/>
        <w:lang w:val="en-US" w:eastAsia="en-US" w:bidi="ar-SA"/>
      </w:rPr>
    </w:lvl>
    <w:lvl w:ilvl="7">
      <w:start w:val="0"/>
      <w:numFmt w:val="bullet"/>
      <w:lvlText w:val="•"/>
      <w:lvlJc w:val="left"/>
      <w:pPr>
        <w:ind w:left="3695" w:hanging="110"/>
      </w:pPr>
      <w:rPr>
        <w:rFonts w:hint="default"/>
        <w:lang w:val="en-US" w:eastAsia="en-US" w:bidi="ar-SA"/>
      </w:rPr>
    </w:lvl>
    <w:lvl w:ilvl="8">
      <w:start w:val="0"/>
      <w:numFmt w:val="bullet"/>
      <w:lvlText w:val="•"/>
      <w:lvlJc w:val="left"/>
      <w:pPr>
        <w:ind w:left="4175" w:hanging="110"/>
      </w:pPr>
      <w:rPr>
        <w:rFonts w:hint="default"/>
        <w:lang w:val="en-US" w:eastAsia="en-US" w:bidi="ar-SA"/>
      </w:rPr>
    </w:lvl>
  </w:abstractNum>
  <w:abstractNum w:abstractNumId="1">
    <w:multiLevelType w:val="hybridMultilevel"/>
    <w:lvl w:ilvl="0">
      <w:start w:val="1"/>
      <w:numFmt w:val="upperLetter"/>
      <w:lvlText w:val="%1."/>
      <w:lvlJc w:val="left"/>
      <w:pPr>
        <w:ind w:left="666" w:hanging="269"/>
        <w:jc w:val="left"/>
      </w:pPr>
      <w:rPr>
        <w:rFonts w:hint="default" w:ascii="Times New Roman" w:hAnsi="Times New Roman" w:eastAsia="Times New Roman" w:cs="Times New Roman"/>
        <w:i/>
        <w:w w:val="102"/>
        <w:sz w:val="18"/>
        <w:szCs w:val="18"/>
        <w:lang w:val="en-US" w:eastAsia="en-US" w:bidi="ar-SA"/>
      </w:rPr>
    </w:lvl>
    <w:lvl w:ilvl="1">
      <w:start w:val="0"/>
      <w:numFmt w:val="bullet"/>
      <w:lvlText w:val="•"/>
      <w:lvlJc w:val="left"/>
      <w:pPr>
        <w:ind w:left="1102" w:hanging="269"/>
      </w:pPr>
      <w:rPr>
        <w:rFonts w:hint="default"/>
        <w:lang w:val="en-US" w:eastAsia="en-US" w:bidi="ar-SA"/>
      </w:rPr>
    </w:lvl>
    <w:lvl w:ilvl="2">
      <w:start w:val="0"/>
      <w:numFmt w:val="bullet"/>
      <w:lvlText w:val="•"/>
      <w:lvlJc w:val="left"/>
      <w:pPr>
        <w:ind w:left="1545" w:hanging="269"/>
      </w:pPr>
      <w:rPr>
        <w:rFonts w:hint="default"/>
        <w:lang w:val="en-US" w:eastAsia="en-US" w:bidi="ar-SA"/>
      </w:rPr>
    </w:lvl>
    <w:lvl w:ilvl="3">
      <w:start w:val="0"/>
      <w:numFmt w:val="bullet"/>
      <w:lvlText w:val="•"/>
      <w:lvlJc w:val="left"/>
      <w:pPr>
        <w:ind w:left="1987" w:hanging="269"/>
      </w:pPr>
      <w:rPr>
        <w:rFonts w:hint="default"/>
        <w:lang w:val="en-US" w:eastAsia="en-US" w:bidi="ar-SA"/>
      </w:rPr>
    </w:lvl>
    <w:lvl w:ilvl="4">
      <w:start w:val="0"/>
      <w:numFmt w:val="bullet"/>
      <w:lvlText w:val="•"/>
      <w:lvlJc w:val="left"/>
      <w:pPr>
        <w:ind w:left="2430" w:hanging="269"/>
      </w:pPr>
      <w:rPr>
        <w:rFonts w:hint="default"/>
        <w:lang w:val="en-US" w:eastAsia="en-US" w:bidi="ar-SA"/>
      </w:rPr>
    </w:lvl>
    <w:lvl w:ilvl="5">
      <w:start w:val="0"/>
      <w:numFmt w:val="bullet"/>
      <w:lvlText w:val="•"/>
      <w:lvlJc w:val="left"/>
      <w:pPr>
        <w:ind w:left="2872" w:hanging="269"/>
      </w:pPr>
      <w:rPr>
        <w:rFonts w:hint="default"/>
        <w:lang w:val="en-US" w:eastAsia="en-US" w:bidi="ar-SA"/>
      </w:rPr>
    </w:lvl>
    <w:lvl w:ilvl="6">
      <w:start w:val="0"/>
      <w:numFmt w:val="bullet"/>
      <w:lvlText w:val="•"/>
      <w:lvlJc w:val="left"/>
      <w:pPr>
        <w:ind w:left="3315" w:hanging="269"/>
      </w:pPr>
      <w:rPr>
        <w:rFonts w:hint="default"/>
        <w:lang w:val="en-US" w:eastAsia="en-US" w:bidi="ar-SA"/>
      </w:rPr>
    </w:lvl>
    <w:lvl w:ilvl="7">
      <w:start w:val="0"/>
      <w:numFmt w:val="bullet"/>
      <w:lvlText w:val="•"/>
      <w:lvlJc w:val="left"/>
      <w:pPr>
        <w:ind w:left="3757" w:hanging="269"/>
      </w:pPr>
      <w:rPr>
        <w:rFonts w:hint="default"/>
        <w:lang w:val="en-US" w:eastAsia="en-US" w:bidi="ar-SA"/>
      </w:rPr>
    </w:lvl>
    <w:lvl w:ilvl="8">
      <w:start w:val="0"/>
      <w:numFmt w:val="bullet"/>
      <w:lvlText w:val="•"/>
      <w:lvlJc w:val="left"/>
      <w:pPr>
        <w:ind w:left="4200" w:hanging="269"/>
      </w:pPr>
      <w:rPr>
        <w:rFonts w:hint="default"/>
        <w:lang w:val="en-US" w:eastAsia="en-US" w:bidi="ar-SA"/>
      </w:rPr>
    </w:lvl>
  </w:abstractNum>
  <w:abstractNum w:abstractNumId="0">
    <w:multiLevelType w:val="hybridMultilevel"/>
    <w:lvl w:ilvl="0">
      <w:start w:val="1"/>
      <w:numFmt w:val="upperRoman"/>
      <w:lvlText w:val="%1."/>
      <w:lvlJc w:val="left"/>
      <w:pPr>
        <w:ind w:left="2195" w:hanging="255"/>
        <w:jc w:val="right"/>
      </w:pPr>
      <w:rPr>
        <w:rFonts w:hint="default" w:ascii="Times New Roman" w:hAnsi="Times New Roman" w:eastAsia="Times New Roman" w:cs="Times New Roman"/>
        <w:w w:val="102"/>
        <w:sz w:val="18"/>
        <w:szCs w:val="18"/>
        <w:lang w:val="en-US" w:eastAsia="en-US" w:bidi="ar-SA"/>
      </w:rPr>
    </w:lvl>
    <w:lvl w:ilvl="1">
      <w:start w:val="0"/>
      <w:numFmt w:val="bullet"/>
      <w:lvlText w:val="•"/>
      <w:lvlJc w:val="left"/>
      <w:pPr>
        <w:ind w:left="2491" w:hanging="255"/>
      </w:pPr>
      <w:rPr>
        <w:rFonts w:hint="default"/>
        <w:lang w:val="en-US" w:eastAsia="en-US" w:bidi="ar-SA"/>
      </w:rPr>
    </w:lvl>
    <w:lvl w:ilvl="2">
      <w:start w:val="0"/>
      <w:numFmt w:val="bullet"/>
      <w:lvlText w:val="•"/>
      <w:lvlJc w:val="left"/>
      <w:pPr>
        <w:ind w:left="2783" w:hanging="255"/>
      </w:pPr>
      <w:rPr>
        <w:rFonts w:hint="default"/>
        <w:lang w:val="en-US" w:eastAsia="en-US" w:bidi="ar-SA"/>
      </w:rPr>
    </w:lvl>
    <w:lvl w:ilvl="3">
      <w:start w:val="0"/>
      <w:numFmt w:val="bullet"/>
      <w:lvlText w:val="•"/>
      <w:lvlJc w:val="left"/>
      <w:pPr>
        <w:ind w:left="3075" w:hanging="255"/>
      </w:pPr>
      <w:rPr>
        <w:rFonts w:hint="default"/>
        <w:lang w:val="en-US" w:eastAsia="en-US" w:bidi="ar-SA"/>
      </w:rPr>
    </w:lvl>
    <w:lvl w:ilvl="4">
      <w:start w:val="0"/>
      <w:numFmt w:val="bullet"/>
      <w:lvlText w:val="•"/>
      <w:lvlJc w:val="left"/>
      <w:pPr>
        <w:ind w:left="3367" w:hanging="255"/>
      </w:pPr>
      <w:rPr>
        <w:rFonts w:hint="default"/>
        <w:lang w:val="en-US" w:eastAsia="en-US" w:bidi="ar-SA"/>
      </w:rPr>
    </w:lvl>
    <w:lvl w:ilvl="5">
      <w:start w:val="0"/>
      <w:numFmt w:val="bullet"/>
      <w:lvlText w:val="•"/>
      <w:lvlJc w:val="left"/>
      <w:pPr>
        <w:ind w:left="3658" w:hanging="255"/>
      </w:pPr>
      <w:rPr>
        <w:rFonts w:hint="default"/>
        <w:lang w:val="en-US" w:eastAsia="en-US" w:bidi="ar-SA"/>
      </w:rPr>
    </w:lvl>
    <w:lvl w:ilvl="6">
      <w:start w:val="0"/>
      <w:numFmt w:val="bullet"/>
      <w:lvlText w:val="•"/>
      <w:lvlJc w:val="left"/>
      <w:pPr>
        <w:ind w:left="3950" w:hanging="255"/>
      </w:pPr>
      <w:rPr>
        <w:rFonts w:hint="default"/>
        <w:lang w:val="en-US" w:eastAsia="en-US" w:bidi="ar-SA"/>
      </w:rPr>
    </w:lvl>
    <w:lvl w:ilvl="7">
      <w:start w:val="0"/>
      <w:numFmt w:val="bullet"/>
      <w:lvlText w:val="•"/>
      <w:lvlJc w:val="left"/>
      <w:pPr>
        <w:ind w:left="4242" w:hanging="255"/>
      </w:pPr>
      <w:rPr>
        <w:rFonts w:hint="default"/>
        <w:lang w:val="en-US" w:eastAsia="en-US" w:bidi="ar-SA"/>
      </w:rPr>
    </w:lvl>
    <w:lvl w:ilvl="8">
      <w:start w:val="0"/>
      <w:numFmt w:val="bullet"/>
      <w:lvlText w:val="•"/>
      <w:lvlJc w:val="left"/>
      <w:pPr>
        <w:ind w:left="4534"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jc w:val="both"/>
    </w:pPr>
    <w:rPr>
      <w:rFonts w:ascii="Times New Roman" w:hAnsi="Times New Roman" w:eastAsia="SimSun" w:cs="Times New Roman"/>
      <w:sz w:val="18"/>
      <w:szCs w:val="18"/>
      <w:lang w:val="en-US" w:eastAsia="zh-CN" w:bidi="ar-SA"/>
    </w:rPr>
  </w:style>
  <w:style w:styleId="Title" w:type="paragraph">
    <w:name w:val="Title"/>
    <w:basedOn w:val="Normal"/>
    <w:uiPriority w:val="1"/>
    <w:qFormat/>
    <w:pPr>
      <w:spacing w:before="87"/>
      <w:ind w:left="3458" w:hanging="2179"/>
    </w:pPr>
    <w:rPr>
      <w:rFonts w:ascii="Times New Roman" w:hAnsi="Times New Roman" w:eastAsia="SimSun" w:cs="Times New Roman"/>
      <w:b/>
      <w:bCs/>
      <w:sz w:val="44"/>
      <w:szCs w:val="44"/>
      <w:lang w:val="en-US" w:eastAsia="zh-CN" w:bidi="ar-SA"/>
    </w:rPr>
  </w:style>
  <w:style w:styleId="ListParagraph" w:type="paragraph">
    <w:name w:val="List Paragraph"/>
    <w:basedOn w:val="Normal"/>
    <w:uiPriority w:val="1"/>
    <w:qFormat/>
    <w:pPr>
      <w:ind w:left="916" w:hanging="597"/>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frank.waguie@yahoo.fr" TargetMode="External"/><Relationship Id="rId7" Type="http://schemas.openxmlformats.org/officeDocument/2006/relationships/hyperlink" Target="mailto:Fadi.alturjman@neu.edu.tr" TargetMode="Externa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Francxa Tagne Waguie</dc:creator>
  <dc:subject>2022 International Conference on Artificial Intelligence in Everything (AIE);2022; ; ;10.1109/AIE57029.2022.00091</dc:subject>
  <dc:title>Artificial Intelligence for Edge Computing Security: A Survey</dc:title>
  <dcterms:created xsi:type="dcterms:W3CDTF">2023-07-19T08:09:47Z</dcterms:created>
  <dcterms:modified xsi:type="dcterms:W3CDTF">2023-07-19T08:09:47Z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LastSaved">
    <vt:filetime>2023-07-19T00:00:00Z</vt:filetime>
  </property>
</Properties>
</file>