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360"/>
      </w:pPr>
    </w:p>
    <w:p>
      <w:pPr>
        <w:spacing w:after="360"/>
      </w:pPr>
    </w:p>
    <w:p>
      <w:pPr>
        <w:spacing w:after="360"/>
      </w:pPr>
    </w:p>
    <w:p>
      <w:pPr>
        <w:spacing w:after="360"/>
      </w:pPr>
    </w:p>
    <w:p>
      <w:pPr>
        <w:spacing w:after="320"/>
        <w:jc w:val="center"/>
      </w:pPr>
      <w:r>
        <w:rPr>
          <w:rFonts w:ascii="Calibri" w:hAnsi="Calibri" w:eastAsia="Microsoft YaHei"/>
          <w:b/>
          <w:color w:val="2E74B5"/>
          <w:sz w:val="22"/>
        </w:rPr>
        <w:t>EXPANDED EVALUATION PROTOCOL</w:t>
      </w:r>
    </w:p>
    <w:p>
      <w:pPr>
        <w:spacing w:after="200"/>
        <w:jc w:val="center"/>
      </w:pPr>
      <w:r>
        <w:rPr>
          <w:rFonts w:ascii="Calibri" w:hAnsi="Calibri" w:eastAsia="Microsoft YaHei"/>
          <w:b/>
          <w:color w:val="0B2545"/>
          <w:sz w:val="60"/>
        </w:rPr>
        <w:t>EvalAgent Expanded Sensemaking</w:t>
        <w:br/>
        <w:t>Study Protocol</w:t>
      </w:r>
    </w:p>
    <w:p>
      <w:pPr>
        <w:spacing w:after="600"/>
        <w:jc w:val="center"/>
      </w:pPr>
      <w:r>
        <w:rPr>
          <w:rFonts w:ascii="Calibri" w:hAnsi="Calibri" w:eastAsia="Microsoft YaHei"/>
          <w:color w:val="1F4D78"/>
          <w:sz w:val="28"/>
        </w:rPr>
        <w:t>How developers configure, compare, explain,</w:t>
        <w:br/>
        <w:t>and reconfigure GUI agents</w:t>
      </w:r>
    </w:p>
    <w:p>
      <w:pPr>
        <w:spacing w:after="60" w:line="252" w:lineRule="auto"/>
        <w:jc w:val="center"/>
      </w:pPr>
      <w:r>
        <w:rPr>
          <w:rFonts w:ascii="Calibri" w:hAnsi="Calibri" w:eastAsia="Microsoft YaHei"/>
          <w:b/>
          <w:color w:val="0B2545"/>
          <w:sz w:val="19"/>
        </w:rPr>
        <w:t xml:space="preserve">Protocol version: </w:t>
      </w:r>
      <w:r>
        <w:rPr>
          <w:rFonts w:ascii="Calibri" w:hAnsi="Calibri" w:eastAsia="Microsoft YaHei"/>
          <w:color w:val="667085"/>
          <w:sz w:val="19"/>
        </w:rPr>
        <w:t>5.0</w:t>
      </w:r>
    </w:p>
    <w:p>
      <w:pPr>
        <w:spacing w:after="60" w:line="252" w:lineRule="auto"/>
        <w:jc w:val="center"/>
      </w:pPr>
      <w:r>
        <w:rPr>
          <w:rFonts w:ascii="Calibri" w:hAnsi="Calibri" w:eastAsia="Microsoft YaHei"/>
          <w:b/>
          <w:color w:val="0B2545"/>
          <w:sz w:val="19"/>
        </w:rPr>
        <w:t xml:space="preserve">Date: </w:t>
      </w:r>
      <w:r>
        <w:rPr>
          <w:rFonts w:ascii="Calibri" w:hAnsi="Calibri" w:eastAsia="Microsoft YaHei"/>
          <w:color w:val="667085"/>
          <w:sz w:val="19"/>
        </w:rPr>
        <w:t>July 29, 2026</w:t>
      </w:r>
    </w:p>
    <w:p>
      <w:pPr>
        <w:spacing w:after="60" w:line="252" w:lineRule="auto"/>
        <w:jc w:val="center"/>
      </w:pPr>
      <w:r>
        <w:rPr>
          <w:rFonts w:ascii="Calibri" w:hAnsi="Calibri" w:eastAsia="Microsoft YaHei"/>
          <w:b/>
          <w:color w:val="0B2545"/>
          <w:sz w:val="19"/>
        </w:rPr>
        <w:t xml:space="preserve">Study type: </w:t>
      </w:r>
      <w:r>
        <w:rPr>
          <w:rFonts w:ascii="Calibri" w:hAnsi="Calibri" w:eastAsia="Microsoft YaHei"/>
          <w:color w:val="667085"/>
          <w:sz w:val="19"/>
        </w:rPr>
        <w:t>Moderated in-person expanded ecological evaluation</w:t>
      </w:r>
    </w:p>
    <w:p>
      <w:pPr>
        <w:spacing w:after="60" w:line="252" w:lineRule="auto"/>
        <w:jc w:val="center"/>
      </w:pPr>
      <w:r>
        <w:rPr>
          <w:rFonts w:ascii="Calibri" w:hAnsi="Calibri" w:eastAsia="Microsoft YaHei"/>
          <w:b/>
          <w:color w:val="0B2545"/>
          <w:sz w:val="19"/>
        </w:rPr>
        <w:t xml:space="preserve">Participant commitment: </w:t>
      </w:r>
      <w:r>
        <w:rPr>
          <w:rFonts w:ascii="Calibri" w:hAnsi="Calibri" w:eastAsia="Microsoft YaHei"/>
          <w:color w:val="667085"/>
          <w:sz w:val="19"/>
        </w:rPr>
        <w:t>50 minutes planned; 55-minute hard maximum</w:t>
      </w:r>
    </w:p>
    <w:p>
      <w:pPr>
        <w:spacing w:after="60" w:line="252" w:lineRule="auto"/>
        <w:jc w:val="center"/>
      </w:pPr>
      <w:r>
        <w:rPr>
          <w:rFonts w:ascii="Calibri" w:hAnsi="Calibri" w:eastAsia="Microsoft YaHei"/>
          <w:b/>
          <w:color w:val="0B2545"/>
          <w:sz w:val="19"/>
        </w:rPr>
        <w:t xml:space="preserve">Target sample: </w:t>
      </w:r>
      <w:r>
        <w:rPr>
          <w:rFonts w:ascii="Calibri" w:hAnsi="Calibri" w:eastAsia="Microsoft YaHei"/>
          <w:color w:val="667085"/>
          <w:sz w:val="19"/>
        </w:rPr>
        <w:t>12 new GUI-agent developers or researchers</w:t>
      </w:r>
    </w:p>
    <w:p>
      <w:pPr>
        <w:spacing w:after="60" w:line="252" w:lineRule="auto"/>
        <w:jc w:val="center"/>
      </w:pPr>
      <w:r>
        <w:rPr>
          <w:rFonts w:ascii="Calibri" w:hAnsi="Calibri" w:eastAsia="Microsoft YaHei"/>
          <w:b/>
          <w:color w:val="0B2545"/>
          <w:sz w:val="19"/>
        </w:rPr>
        <w:t xml:space="preserve">Environment: </w:t>
      </w:r>
      <w:r>
        <w:rPr>
          <w:rFonts w:ascii="Calibri" w:hAnsi="Calibri" w:eastAsia="Microsoft YaHei"/>
          <w:color w:val="667085"/>
          <w:sz w:val="19"/>
        </w:rPr>
        <w:t>EvalAgent with the complete WebHarbor replica catalog</w:t>
      </w:r>
    </w:p>
    <w:p>
      <w:pPr>
        <w:spacing w:before="480"/>
        <w:jc w:val="center"/>
      </w:pPr>
      <w:r>
        <w:rPr>
          <w:rFonts w:eastAsia="Microsoft YaHei"/>
          <w:i/>
          <w:color w:val="667085"/>
          <w:sz w:val="21"/>
        </w:rPr>
        <w:t>Core loop: explore - configure - compare - explain - probe</w:t>
      </w:r>
    </w:p>
    <w:p>
      <w:r>
        <w:rPr>
          <w:rFonts w:eastAsia="Microsoft YaHei"/>
        </w:rPr>
        <w:br w:type="page"/>
      </w:r>
    </w:p>
    <w:p>
      <w:pPr>
        <w:pStyle w:val="Heading1"/>
        <w:spacing w:before="0"/>
      </w:pPr>
      <w:r>
        <w:rPr>
          <w:rFonts w:eastAsia="Microsoft YaHei"/>
        </w:rPr>
        <w:t>Contents</w:t>
      </w:r>
    </w:p>
    <w:p>
      <w:pPr>
        <w:spacing w:after="50" w:line="252" w:lineRule="auto"/>
        <w:ind w:left="216"/>
      </w:pPr>
      <w:r>
        <w:rPr>
          <w:rFonts w:eastAsia="Microsoft YaHei"/>
          <w:sz w:val="19"/>
        </w:rPr>
        <w:t>1. Study purpose and positioning</w:t>
      </w:r>
    </w:p>
    <w:p>
      <w:pPr>
        <w:spacing w:after="50" w:line="252" w:lineRule="auto"/>
        <w:ind w:left="216"/>
      </w:pPr>
      <w:r>
        <w:rPr>
          <w:rFonts w:eastAsia="Microsoft YaHei"/>
          <w:sz w:val="19"/>
        </w:rPr>
        <w:t>2. Research questions</w:t>
      </w:r>
    </w:p>
    <w:p>
      <w:pPr>
        <w:spacing w:after="50" w:line="252" w:lineRule="auto"/>
        <w:ind w:left="216"/>
      </w:pPr>
      <w:r>
        <w:rPr>
          <w:rFonts w:eastAsia="Microsoft YaHei"/>
          <w:sz w:val="19"/>
        </w:rPr>
        <w:t>3. Claim-to-evidence matrix</w:t>
      </w:r>
    </w:p>
    <w:p>
      <w:pPr>
        <w:spacing w:after="50" w:line="252" w:lineRule="auto"/>
        <w:ind w:left="216"/>
      </w:pPr>
      <w:r>
        <w:rPr>
          <w:rFonts w:eastAsia="Microsoft YaHei"/>
          <w:sz w:val="19"/>
        </w:rPr>
        <w:t>4. Participants</w:t>
      </w:r>
    </w:p>
    <w:p>
      <w:pPr>
        <w:spacing w:after="50" w:line="252" w:lineRule="auto"/>
        <w:ind w:left="216"/>
      </w:pPr>
      <w:r>
        <w:rPr>
          <w:rFonts w:eastAsia="Microsoft YaHei"/>
          <w:sz w:val="19"/>
        </w:rPr>
        <w:t>5. Domain coverage and task selection</w:t>
      </w:r>
    </w:p>
    <w:p>
      <w:pPr>
        <w:spacing w:after="50" w:line="252" w:lineRule="auto"/>
        <w:ind w:left="216"/>
      </w:pPr>
      <w:r>
        <w:rPr>
          <w:rFonts w:eastAsia="Microsoft YaHei"/>
          <w:sz w:val="19"/>
        </w:rPr>
        <w:t>6. Experimental configuration and controls</w:t>
      </w:r>
    </w:p>
    <w:p>
      <w:pPr>
        <w:spacing w:after="50" w:line="252" w:lineRule="auto"/>
        <w:ind w:left="216"/>
      </w:pPr>
      <w:r>
        <w:rPr>
          <w:rFonts w:eastAsia="Microsoft YaHei"/>
          <w:sz w:val="19"/>
        </w:rPr>
        <w:t>7. Session overview</w:t>
      </w:r>
    </w:p>
    <w:p>
      <w:pPr>
        <w:spacing w:after="50" w:line="252" w:lineRule="auto"/>
        <w:ind w:left="216"/>
      </w:pPr>
      <w:r>
        <w:rPr>
          <w:rFonts w:eastAsia="Microsoft YaHei"/>
          <w:sz w:val="19"/>
        </w:rPr>
        <w:t>8. Detailed moderator protocol</w:t>
      </w:r>
    </w:p>
    <w:p>
      <w:pPr>
        <w:spacing w:after="50" w:line="252" w:lineRule="auto"/>
        <w:ind w:left="216"/>
      </w:pPr>
      <w:r>
        <w:rPr>
          <w:rFonts w:eastAsia="Microsoft YaHei"/>
          <w:sz w:val="19"/>
        </w:rPr>
        <w:t>9. Data collection specification</w:t>
      </w:r>
    </w:p>
    <w:p>
      <w:pPr>
        <w:spacing w:after="50" w:line="252" w:lineRule="auto"/>
        <w:ind w:left="216"/>
      </w:pPr>
      <w:r>
        <w:rPr>
          <w:rFonts w:eastAsia="Microsoft YaHei"/>
          <w:sz w:val="19"/>
        </w:rPr>
        <w:t>10. Analysis plan</w:t>
      </w:r>
    </w:p>
    <w:p>
      <w:pPr>
        <w:spacing w:after="50" w:line="252" w:lineRule="auto"/>
        <w:ind w:left="216"/>
      </w:pPr>
      <w:r>
        <w:rPr>
          <w:rFonts w:eastAsia="Microsoft YaHei"/>
          <w:sz w:val="19"/>
        </w:rPr>
        <w:t>11. Runtime, failure, and follow-up rules</w:t>
      </w:r>
    </w:p>
    <w:p>
      <w:pPr>
        <w:spacing w:after="50" w:line="252" w:lineRule="auto"/>
        <w:ind w:left="216"/>
      </w:pPr>
      <w:r>
        <w:rPr>
          <w:rFonts w:eastAsia="Microsoft YaHei"/>
          <w:sz w:val="19"/>
        </w:rPr>
        <w:t>12. Negative cases and stopping rules</w:t>
      </w:r>
    </w:p>
    <w:p>
      <w:pPr>
        <w:spacing w:after="50" w:line="252" w:lineRule="auto"/>
        <w:ind w:left="216"/>
      </w:pPr>
      <w:r>
        <w:rPr>
          <w:rFonts w:eastAsia="Microsoft YaHei"/>
          <w:sz w:val="19"/>
        </w:rPr>
        <w:t>13. Reporting and claim boundaries</w:t>
      </w:r>
    </w:p>
    <w:p>
      <w:pPr>
        <w:spacing w:after="50" w:line="252" w:lineRule="auto"/>
        <w:ind w:left="216"/>
      </w:pPr>
      <w:r>
        <w:rPr>
          <w:rFonts w:eastAsia="Microsoft YaHei"/>
          <w:b/>
          <w:color w:val="1F4D78"/>
          <w:sz w:val="19"/>
        </w:rPr>
        <w:t>Appendix A. Moderator run sheet</w:t>
      </w:r>
    </w:p>
    <w:p>
      <w:pPr>
        <w:spacing w:after="50" w:line="252" w:lineRule="auto"/>
        <w:ind w:left="216"/>
      </w:pPr>
      <w:r>
        <w:rPr>
          <w:rFonts w:eastAsia="Microsoft YaHei"/>
          <w:b/>
          <w:color w:val="1F4D78"/>
          <w:sz w:val="19"/>
        </w:rPr>
        <w:t>Appendix B. Structured data capture sheet</w:t>
      </w:r>
    </w:p>
    <w:p>
      <w:pPr>
        <w:spacing w:after="50" w:line="252" w:lineRule="auto"/>
        <w:ind w:left="216"/>
      </w:pPr>
      <w:r>
        <w:rPr>
          <w:rFonts w:eastAsia="Microsoft YaHei"/>
          <w:b/>
          <w:color w:val="1F4D78"/>
          <w:sz w:val="19"/>
        </w:rPr>
        <w:t>Appendix C. Standardized asynchronous follow-up</w:t>
      </w:r>
    </w:p>
    <w:p>
      <w:r>
        <w:rPr>
          <w:rFonts w:eastAsia="Microsoft YaHei"/>
        </w:rPr>
        <w:br w:type="page"/>
      </w:r>
    </w:p>
    <w:p>
      <w:pPr>
        <w:pStyle w:val="Heading1"/>
      </w:pPr>
      <w:r>
        <w:rPr>
          <w:rFonts w:eastAsia="Microsoft YaHei"/>
        </w:rPr>
        <w:t>1. Study purpose and positioning</w:t>
      </w:r>
    </w:p>
    <w:p>
      <w:r>
        <w:rPr>
          <w:rFonts w:eastAsia="Microsoft YaHei"/>
        </w:rPr>
        <w:t xml:space="preserve">This study is an </w:t>
      </w:r>
      <w:r>
        <w:rPr>
          <w:rFonts w:eastAsia="Microsoft YaHei"/>
          <w:b/>
        </w:rPr>
        <w:t>expanded ecological evaluation of developer sensemaking</w:t>
      </w:r>
      <w:r>
        <w:rPr>
          <w:rFonts w:eastAsia="Microsoft YaHei"/>
        </w:rPr>
        <w:t>. It examines how developers configure contrasting GUI agents, compare aligned trajectories, revise their explanations, and use those explanations to make a targeted configuration change on a task they selected from WebHarbor.</w:t>
      </w:r>
    </w:p>
    <w:p>
      <w:r>
        <w:rPr>
          <w:rFonts w:eastAsia="Microsoft YaHei"/>
        </w:rPr>
        <w:t>The study complements, rather than replaces, the original UIST controlled evaluation:</w:t>
      </w:r>
    </w:p>
    <w:p>
      <w:pPr>
        <w:pStyle w:val="ListBullet"/>
        <w:numPr>
          <w:ilvl w:val="0"/>
          <w:numId w:val="91"/>
        </w:numPr>
      </w:pPr>
      <w:r>
        <w:rPr>
          <w:rFonts w:eastAsia="Microsoft YaHei"/>
          <w:b/>
        </w:rPr>
        <w:t>Study 1 (original controlled study):</w:t>
      </w:r>
      <w:r>
        <w:rPr>
          <w:rFonts w:eastAsia="Microsoft YaHei"/>
        </w:rPr>
        <w:t xml:space="preserve"> isolates the contribution of EvalAgent’s comparison components and supports the original component-level RQ1 and RQ2.</w:t>
      </w:r>
    </w:p>
    <w:p>
      <w:pPr>
        <w:pStyle w:val="ListBullet"/>
        <w:numPr>
          <w:ilvl w:val="0"/>
          <w:numId w:val="91"/>
        </w:numPr>
      </w:pPr>
      <w:r>
        <w:rPr>
          <w:rFonts w:eastAsia="Microsoft YaHei"/>
          <w:b/>
        </w:rPr>
        <w:t>Study 2 (this protocol):</w:t>
      </w:r>
      <w:r>
        <w:rPr>
          <w:rFonts w:eastAsia="Microsoft YaHei"/>
        </w:rPr>
        <w:t xml:space="preserve"> expands the under-evidenced original RQ3 by observing the complete configuration-comparison-reconfiguration workflow across participant-selected tasks and multiple domains.</w:t>
      </w:r>
    </w:p>
    <w:p>
      <w:r>
        <w:rPr>
          <w:rFonts w:eastAsia="Microsoft YaHei"/>
        </w:rPr>
        <w:t xml:space="preserve">The central outcome is not whether participants write perfect evaluation criteria. Criteria, Judge outputs, and trajectory evidence are treated as </w:t>
      </w:r>
      <w:r>
        <w:rPr>
          <w:rFonts w:eastAsia="Microsoft YaHei"/>
          <w:b/>
        </w:rPr>
        <w:t>resources that may support sensemaking</w:t>
      </w:r>
      <w:r>
        <w:rPr>
          <w:rFonts w:eastAsia="Microsoft YaHei"/>
        </w:rPr>
        <w:t>. The primary outcome is how participants construct, test, and revise an explanation of agent behavior.</w:t>
      </w:r>
    </w:p>
    <w:p>
      <w:r>
        <w:rPr>
          <w:rFonts w:eastAsia="Microsoft YaHei"/>
        </w:rPr>
        <w:t xml:space="preserve">This study supports claims about process, usefulness, breakdowns, and design implications. It does </w:t>
      </w:r>
      <w:r>
        <w:rPr>
          <w:rFonts w:eastAsia="Microsoft YaHei"/>
          <w:b/>
        </w:rPr>
        <w:t>not</w:t>
      </w:r>
      <w:r>
        <w:rPr>
          <w:rFonts w:eastAsia="Microsoft YaHei"/>
        </w:rPr>
        <w:t xml:space="preserve"> support causal claims about domain effects or population-level differences between websites.</w:t>
      </w:r>
    </w:p>
    <w:p>
      <w:pPr>
        <w:pStyle w:val="Heading1"/>
      </w:pPr>
      <w:r>
        <w:rPr>
          <w:rFonts w:eastAsia="Microsoft YaHei"/>
        </w:rPr>
        <w:t>2. Research questions</w:t>
      </w:r>
    </w:p>
    <w:p>
      <w:pPr>
        <w:pStyle w:val="Heading2"/>
      </w:pPr>
      <w:r>
        <w:rPr>
          <w:rFonts w:eastAsia="Microsoft YaHei"/>
        </w:rPr>
        <w:t>2.1 Overarching research question</w:t>
      </w:r>
    </w:p>
    <w:p>
      <w:r>
        <w:rPr>
          <w:rFonts w:eastAsia="Microsoft YaHei"/>
          <w:b/>
        </w:rPr>
        <w:t>How do GUI-agent developers use EvalAgent’s configuration, aligned comparison, and reconfiguration workflow to make sense of behavioral variation across self-selected WebHarbor tasks?</w:t>
      </w:r>
    </w:p>
    <w:p>
      <w:pPr>
        <w:pStyle w:val="Heading2"/>
      </w:pPr>
      <w:r>
        <w:rPr>
          <w:rFonts w:eastAsia="Microsoft YaHei"/>
        </w:rPr>
        <w:t>2.2 Expanded evaluation questions</w:t>
      </w:r>
    </w:p>
    <w:p>
      <w:r>
        <w:rPr>
          <w:rFonts w:eastAsia="Microsoft YaHei"/>
          <w:b/>
        </w:rPr>
        <w:t>ERQ1 - Configuration framing.</w:t>
      </w:r>
      <w:r>
        <w:rPr>
          <w:rFonts w:eastAsia="Microsoft YaHei"/>
        </w:rPr>
        <w:t xml:space="preserve"> How do developers formulate task-relevant configuration contrasts and behavioral expectations after exploring a WebHarbor domain?</w:t>
      </w:r>
    </w:p>
    <w:p>
      <w:r>
        <w:rPr>
          <w:rFonts w:eastAsia="Microsoft YaHei"/>
          <w:b/>
        </w:rPr>
        <w:t>ERQ2 - Interpretive development.</w:t>
      </w:r>
      <w:r>
        <w:rPr>
          <w:rFonts w:eastAsia="Microsoft YaHei"/>
        </w:rPr>
        <w:t xml:space="preserve"> How do developers’ interpretations and mental models evolve while comparing aligned GUI-agent trajectories?</w:t>
      </w:r>
    </w:p>
    <w:p>
      <w:r>
        <w:rPr>
          <w:rFonts w:eastAsia="Microsoft YaHei"/>
          <w:b/>
        </w:rPr>
        <w:t>ERQ3 - Reconfiguration as a probe.</w:t>
      </w:r>
      <w:r>
        <w:rPr>
          <w:rFonts w:eastAsia="Microsoft YaHei"/>
        </w:rPr>
        <w:t xml:space="preserve"> How do developers translate their interpretations into subsequent configuration probes, and what uncertainties, failures, or domain-specific limitations remain after testing a revised configuration?</w:t>
      </w:r>
    </w:p>
    <w:p>
      <w:pPr>
        <w:pStyle w:val="Heading2"/>
      </w:pPr>
      <w:r>
        <w:rPr>
          <w:rFonts w:eastAsia="Microsoft YaHei"/>
        </w:rPr>
        <w:t>2.3 Construct definitions</w:t>
      </w:r>
    </w:p>
    <w:p>
      <w:pPr>
        <w:pStyle w:val="ListBullet"/>
        <w:numPr>
          <w:ilvl w:val="0"/>
          <w:numId w:val="91"/>
        </w:numPr>
      </w:pPr>
      <w:r>
        <w:rPr>
          <w:rFonts w:eastAsia="Microsoft YaHei"/>
          <w:b/>
        </w:rPr>
        <w:t>Configuration contrast:</w:t>
      </w:r>
      <w:r>
        <w:rPr>
          <w:rFonts w:eastAsia="Microsoft YaHei"/>
        </w:rPr>
        <w:t xml:space="preserve"> the participant’s intended behavioral difference between Agent A and Agent B, expressed through prompts, policies, memory, tool-use instructions, or other settings.</w:t>
      </w:r>
    </w:p>
    <w:p>
      <w:pPr>
        <w:pStyle w:val="ListBullet"/>
        <w:numPr>
          <w:ilvl w:val="0"/>
          <w:numId w:val="91"/>
        </w:numPr>
      </w:pPr>
      <w:r>
        <w:rPr>
          <w:rFonts w:eastAsia="Microsoft YaHei"/>
          <w:b/>
        </w:rPr>
        <w:t>Mental model:</w:t>
      </w:r>
      <w:r>
        <w:rPr>
          <w:rFonts w:eastAsia="Microsoft YaHei"/>
        </w:rPr>
        <w:t xml:space="preserve"> the participant’s current explanation of how configuration, model behavior, interface state, and task conditions produced the observed trajectory.</w:t>
      </w:r>
    </w:p>
    <w:p>
      <w:pPr>
        <w:pStyle w:val="ListBullet"/>
        <w:numPr>
          <w:ilvl w:val="0"/>
          <w:numId w:val="91"/>
        </w:numPr>
      </w:pPr>
      <w:r>
        <w:rPr>
          <w:rFonts w:eastAsia="Microsoft YaHei"/>
          <w:b/>
        </w:rPr>
        <w:t>Sensemaking episode:</w:t>
      </w:r>
      <w:r>
        <w:rPr>
          <w:rFonts w:eastAsia="Microsoft YaHei"/>
        </w:rPr>
        <w:t xml:space="preserve"> a traceable sequence of trigger → observation → interpretation → mental-model update → configuration action → test result.</w:t>
      </w:r>
    </w:p>
    <w:p>
      <w:pPr>
        <w:pStyle w:val="ListBullet"/>
        <w:numPr>
          <w:ilvl w:val="0"/>
          <w:numId w:val="91"/>
        </w:numPr>
      </w:pPr>
      <w:r>
        <w:rPr>
          <w:rFonts w:eastAsia="Microsoft YaHei"/>
          <w:b/>
        </w:rPr>
        <w:t>Configuration probe:</w:t>
      </w:r>
      <w:r>
        <w:rPr>
          <w:rFonts w:eastAsia="Microsoft YaHei"/>
        </w:rPr>
        <w:t xml:space="preserve"> a targeted configuration revision intended to test, support, refine, or challenge an explanation.</w:t>
      </w:r>
    </w:p>
    <w:p>
      <w:pPr>
        <w:pStyle w:val="Heading1"/>
      </w:pPr>
      <w:r>
        <w:rPr>
          <w:rFonts w:eastAsia="Microsoft YaHei"/>
        </w:rPr>
        <w:t>3. Claim-to-evidence matrix</w:t>
      </w:r>
    </w:p>
    <w:tbl>
      <w:tblPr>
        <w:tblStyle w:val="TableGrid"/>
        <w:tblW w:type="dxa" w:w="9360"/>
        <w:jc w:val="left"/>
        <w:tblLayout w:type="fixed"/>
        <w:tblLook w:firstColumn="1" w:firstRow="1" w:lastColumn="0" w:lastRow="0" w:noHBand="0" w:noVBand="1" w:val="04A0"/>
        <w:tblInd w:w="120" w:type="dxa"/>
      </w:tblPr>
      <w:tblGrid>
        <w:gridCol w:w="950"/>
        <w:gridCol w:w="2838"/>
        <w:gridCol w:w="2383"/>
        <w:gridCol w:w="1625"/>
        <w:gridCol w:w="1564"/>
      </w:tblGrid>
      <w:tr>
        <w:trPr>
          <w:tblHeader w:val="true"/>
        </w:trPr>
        <w:tc>
          <w:tcPr>
            <w:tcW w:type="dxa" w:w="950"/>
            <w:shd w:fill="E8EEF5"/>
            <w:tcMar>
              <w:top w:w="80" w:type="dxa"/>
              <w:start w:w="120" w:type="dxa"/>
              <w:bottom w:w="80" w:type="dxa"/>
              <w:end w:w="120" w:type="dxa"/>
            </w:tcMar>
            <w:vAlign w:val="center"/>
          </w:tcPr>
          <w:p>
            <w:pPr>
              <w:spacing w:before="0" w:after="0" w:line="269" w:lineRule="auto"/>
            </w:pPr>
            <w:r>
              <w:rPr>
                <w:rFonts w:eastAsia="Microsoft YaHei"/>
                <w:b/>
                <w:color w:val="0B2545"/>
              </w:rPr>
            </w:r>
            <w:r>
              <w:rPr>
                <w:rFonts w:eastAsia="Microsoft YaHei"/>
                <w:b/>
                <w:color w:val="0B2545"/>
                <w:sz w:val="17"/>
              </w:rPr>
              <w:t>Research question</w:t>
            </w:r>
          </w:p>
        </w:tc>
        <w:tc>
          <w:tcPr>
            <w:tcW w:type="dxa" w:w="2838"/>
            <w:shd w:fill="E8EEF5"/>
            <w:tcMar>
              <w:top w:w="80" w:type="dxa"/>
              <w:start w:w="120" w:type="dxa"/>
              <w:bottom w:w="80" w:type="dxa"/>
              <w:end w:w="120" w:type="dxa"/>
            </w:tcMar>
            <w:vAlign w:val="center"/>
          </w:tcPr>
          <w:p>
            <w:pPr>
              <w:spacing w:before="0" w:after="0" w:line="269" w:lineRule="auto"/>
            </w:pPr>
            <w:r>
              <w:rPr>
                <w:rFonts w:eastAsia="Microsoft YaHei"/>
                <w:b/>
                <w:color w:val="0B2545"/>
              </w:rPr>
            </w:r>
            <w:r>
              <w:rPr>
                <w:rFonts w:eastAsia="Microsoft YaHei"/>
                <w:b/>
                <w:color w:val="0B2545"/>
                <w:sz w:val="17"/>
              </w:rPr>
              <w:t>Primary claim</w:t>
            </w:r>
          </w:p>
        </w:tc>
        <w:tc>
          <w:tcPr>
            <w:tcW w:type="dxa" w:w="2383"/>
            <w:shd w:fill="E8EEF5"/>
            <w:tcMar>
              <w:top w:w="80" w:type="dxa"/>
              <w:start w:w="120" w:type="dxa"/>
              <w:bottom w:w="80" w:type="dxa"/>
              <w:end w:w="120" w:type="dxa"/>
            </w:tcMar>
            <w:vAlign w:val="center"/>
          </w:tcPr>
          <w:p>
            <w:pPr>
              <w:spacing w:before="0" w:after="0" w:line="269" w:lineRule="auto"/>
            </w:pPr>
            <w:r>
              <w:rPr>
                <w:rFonts w:eastAsia="Microsoft YaHei"/>
                <w:b/>
                <w:color w:val="0B2545"/>
              </w:rPr>
            </w:r>
            <w:r>
              <w:rPr>
                <w:rFonts w:eastAsia="Microsoft YaHei"/>
                <w:b/>
                <w:color w:val="0B2545"/>
                <w:sz w:val="17"/>
              </w:rPr>
              <w:t>Primary evidence</w:t>
            </w:r>
          </w:p>
        </w:tc>
        <w:tc>
          <w:tcPr>
            <w:tcW w:type="dxa" w:w="1625"/>
            <w:shd w:fill="E8EEF5"/>
            <w:tcMar>
              <w:top w:w="80" w:type="dxa"/>
              <w:start w:w="120" w:type="dxa"/>
              <w:bottom w:w="80" w:type="dxa"/>
              <w:end w:w="120" w:type="dxa"/>
            </w:tcMar>
            <w:vAlign w:val="center"/>
          </w:tcPr>
          <w:p>
            <w:pPr>
              <w:spacing w:before="0" w:after="0" w:line="269" w:lineRule="auto"/>
            </w:pPr>
            <w:r>
              <w:rPr>
                <w:rFonts w:eastAsia="Microsoft YaHei"/>
                <w:b/>
                <w:color w:val="0B2545"/>
              </w:rPr>
            </w:r>
            <w:r>
              <w:rPr>
                <w:rFonts w:eastAsia="Microsoft YaHei"/>
                <w:b/>
                <w:color w:val="0B2545"/>
                <w:sz w:val="17"/>
              </w:rPr>
              <w:t>Supporting evidence</w:t>
            </w:r>
          </w:p>
        </w:tc>
        <w:tc>
          <w:tcPr>
            <w:tcW w:type="dxa" w:w="1564"/>
            <w:shd w:fill="E8EEF5"/>
            <w:tcMar>
              <w:top w:w="80" w:type="dxa"/>
              <w:start w:w="120" w:type="dxa"/>
              <w:bottom w:w="80" w:type="dxa"/>
              <w:end w:w="120" w:type="dxa"/>
            </w:tcMar>
            <w:vAlign w:val="center"/>
          </w:tcPr>
          <w:p>
            <w:pPr>
              <w:spacing w:before="0" w:after="0" w:line="269" w:lineRule="auto"/>
            </w:pPr>
            <w:r>
              <w:rPr>
                <w:rFonts w:eastAsia="Microsoft YaHei"/>
                <w:b/>
                <w:color w:val="0B2545"/>
              </w:rPr>
            </w:r>
            <w:r>
              <w:rPr>
                <w:rFonts w:eastAsia="Microsoft YaHei"/>
                <w:b/>
                <w:color w:val="0B2545"/>
                <w:sz w:val="17"/>
              </w:rPr>
              <w:t>Explicit boundary</w:t>
            </w:r>
          </w:p>
        </w:tc>
      </w:tr>
      <w:tr>
        <w:tc>
          <w:tcPr>
            <w:tcW w:type="dxa" w:w="950"/>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ERQ1</w:t>
            </w:r>
          </w:p>
        </w:tc>
        <w:tc>
          <w:tcPr>
            <w:tcW w:type="dxa" w:w="2838"/>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Developers can frame meaningful behavioral contrasts from an unfamiliar or partially familiar domain without pre-submitting a task.</w:t>
            </w:r>
          </w:p>
        </w:tc>
        <w:tc>
          <w:tcPr>
            <w:tcW w:type="dxa" w:w="2383"/>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Exact A/B configurations, one-sentence contrast, and predicted behavioral difference.</w:t>
            </w:r>
          </w:p>
        </w:tc>
        <w:tc>
          <w:tcPr>
            <w:tcW w:type="dxa" w:w="1625"/>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Selected site, task, and stopping condition.</w:t>
            </w:r>
          </w:p>
        </w:tc>
        <w:tc>
          <w:tcPr>
            <w:tcW w:type="dxa" w:w="1564"/>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Does not establish that a contrast is objectively optimal.</w:t>
            </w:r>
          </w:p>
        </w:tc>
      </w:tr>
      <w:tr>
        <w:tc>
          <w:tcPr>
            <w:tcW w:type="dxa" w:w="950"/>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ERQ2</w:t>
            </w:r>
          </w:p>
        </w:tc>
        <w:tc>
          <w:tcPr>
            <w:tcW w:type="dxa" w:w="2838"/>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Aligned comparison supports the formation and revision of explanations about agent behavior.</w:t>
            </w:r>
          </w:p>
        </w:tc>
        <w:tc>
          <w:tcPr>
            <w:tcW w:type="dxa" w:w="2383"/>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Participant-identified trajectory moments linked to interpretations and a concise post-comparison explanation.</w:t>
            </w:r>
          </w:p>
        </w:tc>
        <w:tc>
          <w:tcPr>
            <w:tcW w:type="dxa" w:w="1625"/>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The EvalAgent resource the participant says most shaped the explanation.</w:t>
            </w:r>
          </w:p>
        </w:tc>
        <w:tc>
          <w:tcPr>
            <w:tcW w:type="dxa" w:w="1564"/>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Does not isolate the causal contribution of each UI component; Study 1 addresses component effects.</w:t>
            </w:r>
          </w:p>
        </w:tc>
      </w:tr>
      <w:tr>
        <w:tc>
          <w:tcPr>
            <w:tcW w:type="dxa" w:w="950"/>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ERQ3</w:t>
            </w:r>
          </w:p>
        </w:tc>
        <w:tc>
          <w:tcPr>
            <w:tcW w:type="dxa" w:w="2838"/>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Developers can turn an interpretation into a testable configuration probe, but some outcomes remain uncertain or domain-dependent.</w:t>
            </w:r>
          </w:p>
        </w:tc>
        <w:tc>
          <w:tcPr>
            <w:tcW w:type="dxa" w:w="2383"/>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Revised configuration, predicted effect, falsifier, revised-run observation, final decision.</w:t>
            </w:r>
          </w:p>
        </w:tc>
        <w:tc>
          <w:tcPr>
            <w:tcW w:type="dxa" w:w="1625"/>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Failure classifications, remaining uncertainties, resource-use reflections.</w:t>
            </w:r>
          </w:p>
        </w:tc>
        <w:tc>
          <w:tcPr>
            <w:tcW w:type="dxa" w:w="1564"/>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One revised run is a probe, not proof of general agent reliability or a stable causal mechanism.</w:t>
            </w:r>
          </w:p>
        </w:tc>
      </w:tr>
    </w:tbl>
    <w:p>
      <w:pPr>
        <w:spacing w:after="40"/>
      </w:pPr>
    </w:p>
    <w:p>
      <w:pPr>
        <w:pStyle w:val="Heading1"/>
      </w:pPr>
      <w:r>
        <w:rPr>
          <w:rFonts w:eastAsia="Microsoft YaHei"/>
        </w:rPr>
        <w:t>4. Participants</w:t>
      </w:r>
    </w:p>
    <w:p>
      <w:pPr>
        <w:pStyle w:val="Heading2"/>
      </w:pPr>
      <w:r>
        <w:rPr>
          <w:rFonts w:eastAsia="Microsoft YaHei"/>
        </w:rPr>
        <w:t>4.1 Target sample</w:t>
      </w:r>
    </w:p>
    <w:p>
      <w:r>
        <w:rPr>
          <w:rFonts w:eastAsia="Microsoft YaHei"/>
        </w:rPr>
        <w:t xml:space="preserve">Recruit </w:t>
      </w:r>
      <w:r>
        <w:rPr>
          <w:rFonts w:eastAsia="Microsoft YaHei"/>
          <w:b/>
        </w:rPr>
        <w:t>12 new participants</w:t>
      </w:r>
      <w:r>
        <w:rPr>
          <w:rFonts w:eastAsia="Microsoft YaHei"/>
        </w:rPr>
        <w:t xml:space="preserve"> who have experience developing, evaluating, prompting, debugging, or researching LLM-based agents, browser agents, or GUI automation systems.</w:t>
      </w:r>
    </w:p>
    <w:p>
      <w:pPr>
        <w:pStyle w:val="Heading2"/>
      </w:pPr>
      <w:r>
        <w:rPr>
          <w:rFonts w:eastAsia="Microsoft YaHei"/>
        </w:rPr>
        <w:t>4.2 Inclusion criteria</w:t>
      </w:r>
    </w:p>
    <w:p>
      <w:pPr>
        <w:pStyle w:val="ListBullet"/>
        <w:numPr>
          <w:ilvl w:val="0"/>
          <w:numId w:val="91"/>
        </w:numPr>
      </w:pPr>
      <w:r>
        <w:rPr>
          <w:rFonts w:eastAsia="Microsoft YaHei"/>
        </w:rPr>
        <w:t>Age 18 or older.</w:t>
      </w:r>
    </w:p>
    <w:p>
      <w:pPr>
        <w:pStyle w:val="ListBullet"/>
        <w:numPr>
          <w:ilvl w:val="0"/>
          <w:numId w:val="91"/>
        </w:numPr>
      </w:pPr>
      <w:r>
        <w:rPr>
          <w:rFonts w:eastAsia="Microsoft YaHei"/>
        </w:rPr>
        <w:t>At least six months of relevant agent, LLM application, automation, or HCI research/development experience, or completion of a substantial project in one of these areas.</w:t>
      </w:r>
    </w:p>
    <w:p>
      <w:pPr>
        <w:pStyle w:val="ListBullet"/>
        <w:numPr>
          <w:ilvl w:val="0"/>
          <w:numId w:val="91"/>
        </w:numPr>
      </w:pPr>
      <w:r>
        <w:rPr>
          <w:rFonts w:eastAsia="Microsoft YaHei"/>
        </w:rPr>
        <w:t>Comfortable reading agent configurations and browser trajectories.</w:t>
      </w:r>
    </w:p>
    <w:p>
      <w:pPr>
        <w:pStyle w:val="ListBullet"/>
        <w:numPr>
          <w:ilvl w:val="0"/>
          <w:numId w:val="91"/>
        </w:numPr>
      </w:pPr>
      <w:r>
        <w:rPr>
          <w:rFonts w:eastAsia="Microsoft YaHei"/>
        </w:rPr>
        <w:t>Able to explain decisions in English during a 50-minute session.</w:t>
      </w:r>
    </w:p>
    <w:p>
      <w:pPr>
        <w:pStyle w:val="Heading2"/>
      </w:pPr>
      <w:r>
        <w:rPr>
          <w:rFonts w:eastAsia="Microsoft YaHei"/>
        </w:rPr>
        <w:t>4.3 Participant context to record</w:t>
      </w:r>
    </w:p>
    <w:p>
      <w:r>
        <w:rPr>
          <w:rFonts w:eastAsia="Microsoft YaHei"/>
        </w:rPr>
        <w:t>Record role, years of relevant experience, prior GUI-agent experience, frequency of agent evaluation, prior familiarity with the selected website family, and prior familiarity with EvalAgent. These variables contextualize findings; they are not used for subgroup significance tests.</w:t>
      </w:r>
    </w:p>
    <w:p>
      <w:pPr>
        <w:pStyle w:val="Heading1"/>
      </w:pPr>
      <w:r>
        <w:rPr>
          <w:rFonts w:eastAsia="Microsoft YaHei"/>
        </w:rPr>
        <w:t>5. Domain coverage and task selection</w:t>
      </w:r>
    </w:p>
    <w:p>
      <w:pPr>
        <w:pStyle w:val="Heading2"/>
      </w:pPr>
      <w:r>
        <w:rPr>
          <w:rFonts w:eastAsia="Microsoft YaHei"/>
        </w:rPr>
        <w:t>5.1 Preventing concentration on Amazon</w:t>
      </w:r>
    </w:p>
    <w:p>
      <w:r>
        <w:rPr>
          <w:rFonts w:eastAsia="Microsoft YaHei"/>
        </w:rPr>
        <w:t xml:space="preserve">Participants do not receive an unrestricted list of all sites. At the start of each session, the moderator presents </w:t>
      </w:r>
      <w:r>
        <w:rPr>
          <w:rFonts w:eastAsia="Microsoft YaHei"/>
          <w:b/>
        </w:rPr>
        <w:t>three currently quota-open WebHarbor replicas from three different domain families</w:t>
      </w:r>
      <w:r>
        <w:rPr>
          <w:rFonts w:eastAsia="Microsoft YaHei"/>
        </w:rPr>
        <w:t>. The participant freely selects one of the three and then freely chooses a personally meaningful task within it.</w:t>
      </w:r>
    </w:p>
    <w:p>
      <w:r>
        <w:rPr>
          <w:rFonts w:eastAsia="Microsoft YaHei"/>
        </w:rPr>
        <w:t>Across 12 sessions:</w:t>
      </w:r>
    </w:p>
    <w:p>
      <w:pPr>
        <w:pStyle w:val="ListBullet"/>
        <w:numPr>
          <w:ilvl w:val="0"/>
          <w:numId w:val="91"/>
        </w:numPr>
      </w:pPr>
      <w:r>
        <w:rPr>
          <w:rFonts w:eastAsia="Microsoft YaHei"/>
        </w:rPr>
        <w:t xml:space="preserve">Cover at least </w:t>
      </w:r>
      <w:r>
        <w:rPr>
          <w:rFonts w:eastAsia="Microsoft YaHei"/>
          <w:b/>
        </w:rPr>
        <w:t>6 distinct WebHarbor sites</w:t>
      </w:r>
      <w:r>
        <w:rPr>
          <w:rFonts w:eastAsia="Microsoft YaHei"/>
        </w:rPr>
        <w:t>.</w:t>
      </w:r>
    </w:p>
    <w:p>
      <w:pPr>
        <w:pStyle w:val="ListBullet"/>
        <w:numPr>
          <w:ilvl w:val="0"/>
          <w:numId w:val="91"/>
        </w:numPr>
      </w:pPr>
      <w:r>
        <w:rPr>
          <w:rFonts w:eastAsia="Microsoft YaHei"/>
        </w:rPr>
        <w:t xml:space="preserve">Cover at least </w:t>
      </w:r>
      <w:r>
        <w:rPr>
          <w:rFonts w:eastAsia="Microsoft YaHei"/>
          <w:b/>
        </w:rPr>
        <w:t>5 broad domain families</w:t>
      </w:r>
      <w:r>
        <w:rPr>
          <w:rFonts w:eastAsia="Microsoft YaHei"/>
        </w:rPr>
        <w:t>.</w:t>
      </w:r>
    </w:p>
    <w:p>
      <w:pPr>
        <w:pStyle w:val="ListBullet"/>
        <w:numPr>
          <w:ilvl w:val="0"/>
          <w:numId w:val="91"/>
        </w:numPr>
      </w:pPr>
      <w:r>
        <w:rPr>
          <w:rFonts w:eastAsia="Microsoft YaHei"/>
        </w:rPr>
        <w:t xml:space="preserve">Cap any single site, including Amazon, at </w:t>
      </w:r>
      <w:r>
        <w:rPr>
          <w:rFonts w:eastAsia="Microsoft YaHei"/>
          <w:b/>
        </w:rPr>
        <w:t>2 participants</w:t>
      </w:r>
      <w:r>
        <w:rPr>
          <w:rFonts w:eastAsia="Microsoft YaHei"/>
        </w:rPr>
        <w:t>.</w:t>
      </w:r>
    </w:p>
    <w:p>
      <w:pPr>
        <w:pStyle w:val="ListBullet"/>
        <w:numPr>
          <w:ilvl w:val="0"/>
          <w:numId w:val="91"/>
        </w:numPr>
      </w:pPr>
      <w:r>
        <w:rPr>
          <w:rFonts w:eastAsia="Microsoft YaHei"/>
        </w:rPr>
        <w:t xml:space="preserve">Cap any broad domain family at </w:t>
      </w:r>
      <w:r>
        <w:rPr>
          <w:rFonts w:eastAsia="Microsoft YaHei"/>
          <w:b/>
        </w:rPr>
        <w:t>3 participants</w:t>
      </w:r>
      <w:r>
        <w:rPr>
          <w:rFonts w:eastAsia="Microsoft YaHei"/>
        </w:rPr>
        <w:t>.</w:t>
      </w:r>
    </w:p>
    <w:p>
      <w:pPr>
        <w:pStyle w:val="ListBullet"/>
        <w:numPr>
          <w:ilvl w:val="0"/>
          <w:numId w:val="91"/>
        </w:numPr>
      </w:pPr>
      <w:r>
        <w:rPr>
          <w:rFonts w:eastAsia="Microsoft YaHei"/>
        </w:rPr>
        <w:t>Close a site or family once its cap is reached and substitute another quota-open option.</w:t>
      </w:r>
    </w:p>
    <w:p>
      <w:r>
        <w:rPr>
          <w:rFonts w:eastAsia="Microsoft YaHei"/>
        </w:rPr>
        <w:t>Suggested domain families include shopping, travel, information/search, services or booking, productivity, and social/community, adjusted to the replicas available in the deployment.</w:t>
      </w:r>
    </w:p>
    <w:p>
      <w:r>
        <w:rPr>
          <w:rFonts w:eastAsia="Microsoft YaHei"/>
        </w:rPr>
        <w:t xml:space="preserve">This is </w:t>
      </w:r>
      <w:r>
        <w:rPr>
          <w:rFonts w:eastAsia="Microsoft YaHei"/>
          <w:b/>
        </w:rPr>
        <w:t>quota-constrained free choice</w:t>
      </w:r>
      <w:r>
        <w:rPr>
          <w:rFonts w:eastAsia="Microsoft YaHei"/>
        </w:rPr>
        <w:t>: it preserves participant agency while preventing the dataset from collapsing into a single familiar shopping workflow.</w:t>
      </w:r>
    </w:p>
    <w:p>
      <w:pPr>
        <w:pStyle w:val="Heading2"/>
      </w:pPr>
      <w:r>
        <w:rPr>
          <w:rFonts w:eastAsia="Microsoft YaHei"/>
        </w:rPr>
        <w:t>5.2 Task rules</w:t>
      </w:r>
    </w:p>
    <w:p>
      <w:r>
        <w:rPr>
          <w:rFonts w:eastAsia="Microsoft YaHei"/>
        </w:rPr>
        <w:t>The participant chooses the task onsite after five minutes of exploration. The moderator does not ask for a task or agent configuration in advance.</w:t>
      </w:r>
    </w:p>
    <w:p>
      <w:r>
        <w:rPr>
          <w:rFonts w:eastAsia="Microsoft YaHei"/>
        </w:rPr>
        <w:t>A valid task must:</w:t>
      </w:r>
    </w:p>
    <w:p>
      <w:pPr>
        <w:pStyle w:val="ListBullet"/>
        <w:numPr>
          <w:ilvl w:val="0"/>
          <w:numId w:val="91"/>
        </w:numPr>
      </w:pPr>
      <w:r>
        <w:rPr>
          <w:rFonts w:eastAsia="Microsoft YaHei"/>
        </w:rPr>
        <w:t>be meaningful enough that the participant can explain why they chose it;</w:t>
      </w:r>
    </w:p>
    <w:p>
      <w:pPr>
        <w:pStyle w:val="ListBullet"/>
        <w:numPr>
          <w:ilvl w:val="0"/>
          <w:numId w:val="91"/>
        </w:numPr>
      </w:pPr>
      <w:r>
        <w:rPr>
          <w:rFonts w:eastAsia="Microsoft YaHei"/>
        </w:rPr>
        <w:t>permit more than one plausible strategy, prioritization, or stopping decision;</w:t>
      </w:r>
    </w:p>
    <w:p>
      <w:pPr>
        <w:pStyle w:val="ListBullet"/>
        <w:numPr>
          <w:ilvl w:val="0"/>
          <w:numId w:val="91"/>
        </w:numPr>
      </w:pPr>
      <w:r>
        <w:rPr>
          <w:rFonts w:eastAsia="Microsoft YaHei"/>
        </w:rPr>
        <w:t>be executable in the safe replica without real payment, communication, or irreversible external action;</w:t>
      </w:r>
    </w:p>
    <w:p>
      <w:pPr>
        <w:pStyle w:val="ListBullet"/>
        <w:numPr>
          <w:ilvl w:val="0"/>
          <w:numId w:val="91"/>
        </w:numPr>
      </w:pPr>
      <w:r>
        <w:rPr>
          <w:rFonts w:eastAsia="Microsoft YaHei"/>
        </w:rPr>
        <w:t>have a participant-defined stopping condition;</w:t>
      </w:r>
    </w:p>
    <w:p>
      <w:pPr>
        <w:pStyle w:val="ListBullet"/>
        <w:numPr>
          <w:ilvl w:val="0"/>
          <w:numId w:val="91"/>
        </w:numPr>
      </w:pPr>
      <w:r>
        <w:rPr>
          <w:rFonts w:eastAsia="Microsoft YaHei"/>
        </w:rPr>
        <w:t>fit the configured execution budget.</w:t>
      </w:r>
    </w:p>
    <w:p>
      <w:r>
        <w:rPr>
          <w:rFonts w:eastAsia="Microsoft YaHei"/>
        </w:rPr>
        <w:t>If the proposed task is too broad, the moderator asks the participant to narrow its stopping condition without prescribing the strategy.</w:t>
      </w:r>
    </w:p>
    <w:p>
      <w:pPr>
        <w:pStyle w:val="Heading1"/>
      </w:pPr>
      <w:r>
        <w:rPr>
          <w:rFonts w:eastAsia="Microsoft YaHei"/>
        </w:rPr>
        <w:t>6. Experimental configuration and controls</w:t>
      </w:r>
    </w:p>
    <w:p>
      <w:r>
        <w:rPr>
          <w:rFonts w:eastAsia="Microsoft YaHei"/>
        </w:rPr>
        <w:t xml:space="preserve">Each participant creates </w:t>
      </w:r>
      <w:r>
        <w:rPr>
          <w:rFonts w:eastAsia="Microsoft YaHei"/>
          <w:b/>
        </w:rPr>
        <w:t>two initial agent configurations</w:t>
      </w:r>
      <w:r>
        <w:rPr>
          <w:rFonts w:eastAsia="Microsoft YaHei"/>
        </w:rPr>
        <w:t>, A and B, for the same chosen task. A and B should embody a meaningful contrast chosen by the participant. No neutral third agent is required.</w:t>
      </w:r>
    </w:p>
    <w:p>
      <w:r>
        <w:rPr>
          <w:rFonts w:eastAsia="Microsoft YaHei"/>
        </w:rPr>
        <w:t>Hold constant across A and B:</w:t>
      </w:r>
    </w:p>
    <w:p>
      <w:pPr>
        <w:pStyle w:val="ListBullet"/>
        <w:numPr>
          <w:ilvl w:val="0"/>
          <w:numId w:val="91"/>
        </w:numPr>
      </w:pPr>
      <w:r>
        <w:rPr>
          <w:rFonts w:eastAsia="Microsoft YaHei"/>
        </w:rPr>
        <w:t>model and model version;</w:t>
      </w:r>
    </w:p>
    <w:p>
      <w:pPr>
        <w:pStyle w:val="ListBullet"/>
        <w:numPr>
          <w:ilvl w:val="0"/>
          <w:numId w:val="91"/>
        </w:numPr>
      </w:pPr>
      <w:r>
        <w:rPr>
          <w:rFonts w:eastAsia="Microsoft YaHei"/>
        </w:rPr>
        <w:t>task wording;</w:t>
      </w:r>
    </w:p>
    <w:p>
      <w:pPr>
        <w:pStyle w:val="ListBullet"/>
        <w:numPr>
          <w:ilvl w:val="0"/>
          <w:numId w:val="91"/>
        </w:numPr>
      </w:pPr>
      <w:r>
        <w:rPr>
          <w:rFonts w:eastAsia="Microsoft YaHei"/>
        </w:rPr>
        <w:t>website replica and initial state;</w:t>
      </w:r>
    </w:p>
    <w:p>
      <w:pPr>
        <w:pStyle w:val="ListBullet"/>
        <w:numPr>
          <w:ilvl w:val="0"/>
          <w:numId w:val="91"/>
        </w:numPr>
      </w:pPr>
      <w:r>
        <w:rPr>
          <w:rFonts w:eastAsia="Microsoft YaHei"/>
        </w:rPr>
        <w:t>available tools and permissions;</w:t>
      </w:r>
    </w:p>
    <w:p>
      <w:pPr>
        <w:pStyle w:val="ListBullet"/>
        <w:numPr>
          <w:ilvl w:val="0"/>
          <w:numId w:val="91"/>
        </w:numPr>
      </w:pPr>
      <w:r>
        <w:rPr>
          <w:rFonts w:eastAsia="Microsoft YaHei"/>
        </w:rPr>
        <w:t>maximum steps and wall-clock timeout;</w:t>
      </w:r>
    </w:p>
    <w:p>
      <w:pPr>
        <w:pStyle w:val="ListBullet"/>
        <w:numPr>
          <w:ilvl w:val="0"/>
          <w:numId w:val="91"/>
        </w:numPr>
      </w:pPr>
      <w:r>
        <w:rPr>
          <w:rFonts w:eastAsia="Microsoft YaHei"/>
        </w:rPr>
        <w:t>execution environment and logging.</w:t>
      </w:r>
    </w:p>
    <w:p>
      <w:r>
        <w:rPr>
          <w:rFonts w:eastAsia="Microsoft YaHei"/>
        </w:rPr>
        <w:t>Only participant-controlled configuration fields may differ. The system stores exact versioned configurations and all edits.</w:t>
      </w:r>
    </w:p>
    <w:p>
      <w:r>
        <w:rPr>
          <w:rFonts w:eastAsia="Microsoft YaHei"/>
        </w:rPr>
        <w:t>The two initial agents run in parallel. Partial trajectories remain hidden until both runs finish or reach the common timeout, preventing early results from changing the initial comparison.</w:t>
      </w:r>
    </w:p>
    <w:p>
      <w:r>
        <w:rPr>
          <w:rFonts w:eastAsia="Microsoft YaHei"/>
        </w:rPr>
        <w:t>The revised run uses the same model, task, website state, tools, limits, and environment. Only the participant’s targeted configuration revision changes.</w:t>
      </w:r>
    </w:p>
    <w:p>
      <w:pPr>
        <w:pStyle w:val="Heading1"/>
      </w:pPr>
      <w:r>
        <w:rPr>
          <w:rFonts w:eastAsia="Microsoft YaHei"/>
        </w:rPr>
        <w:t>7. Session overview</w:t>
      </w:r>
    </w:p>
    <w:tbl>
      <w:tblPr>
        <w:tblStyle w:val="TableGrid"/>
        <w:tblW w:type="dxa" w:w="9360"/>
        <w:jc w:val="left"/>
        <w:tblLayout w:type="fixed"/>
        <w:tblLook w:firstColumn="1" w:firstRow="1" w:lastColumn="0" w:lastRow="0" w:noHBand="0" w:noVBand="1" w:val="04A0"/>
        <w:tblInd w:w="120" w:type="dxa"/>
      </w:tblPr>
      <w:tblGrid>
        <w:gridCol w:w="950"/>
        <w:gridCol w:w="2188"/>
        <w:gridCol w:w="5372"/>
        <w:gridCol w:w="850"/>
      </w:tblGrid>
      <w:tr>
        <w:trPr>
          <w:tblHeader w:val="true"/>
        </w:trPr>
        <w:tc>
          <w:tcPr>
            <w:tcW w:type="dxa" w:w="950"/>
            <w:shd w:fill="E8EEF5"/>
            <w:tcMar>
              <w:top w:w="80" w:type="dxa"/>
              <w:start w:w="120" w:type="dxa"/>
              <w:bottom w:w="80" w:type="dxa"/>
              <w:end w:w="120" w:type="dxa"/>
            </w:tcMar>
            <w:vAlign w:val="center"/>
          </w:tcPr>
          <w:p>
            <w:pPr>
              <w:spacing w:before="0" w:after="0" w:line="269" w:lineRule="auto"/>
            </w:pPr>
            <w:r>
              <w:rPr>
                <w:rFonts w:eastAsia="Microsoft YaHei"/>
                <w:b/>
                <w:color w:val="0B2545"/>
              </w:rPr>
            </w:r>
            <w:r>
              <w:rPr>
                <w:rFonts w:eastAsia="Microsoft YaHei"/>
                <w:b/>
                <w:color w:val="0B2545"/>
                <w:sz w:val="17"/>
              </w:rPr>
              <w:t>Time</w:t>
            </w:r>
          </w:p>
        </w:tc>
        <w:tc>
          <w:tcPr>
            <w:tcW w:type="dxa" w:w="2188"/>
            <w:shd w:fill="E8EEF5"/>
            <w:tcMar>
              <w:top w:w="80" w:type="dxa"/>
              <w:start w:w="120" w:type="dxa"/>
              <w:bottom w:w="80" w:type="dxa"/>
              <w:end w:w="120" w:type="dxa"/>
            </w:tcMar>
            <w:vAlign w:val="center"/>
          </w:tcPr>
          <w:p>
            <w:pPr>
              <w:spacing w:before="0" w:after="0" w:line="269" w:lineRule="auto"/>
            </w:pPr>
            <w:r>
              <w:rPr>
                <w:rFonts w:eastAsia="Microsoft YaHei"/>
                <w:b/>
                <w:color w:val="0B2545"/>
              </w:rPr>
            </w:r>
            <w:r>
              <w:rPr>
                <w:rFonts w:eastAsia="Microsoft YaHei"/>
                <w:b/>
                <w:color w:val="0B2545"/>
                <w:sz w:val="17"/>
              </w:rPr>
              <w:t>Stage</w:t>
            </w:r>
          </w:p>
        </w:tc>
        <w:tc>
          <w:tcPr>
            <w:tcW w:type="dxa" w:w="5372"/>
            <w:shd w:fill="E8EEF5"/>
            <w:tcMar>
              <w:top w:w="80" w:type="dxa"/>
              <w:start w:w="120" w:type="dxa"/>
              <w:bottom w:w="80" w:type="dxa"/>
              <w:end w:w="120" w:type="dxa"/>
            </w:tcMar>
            <w:vAlign w:val="center"/>
          </w:tcPr>
          <w:p>
            <w:pPr>
              <w:spacing w:before="0" w:after="0" w:line="269" w:lineRule="auto"/>
            </w:pPr>
            <w:r>
              <w:rPr>
                <w:rFonts w:eastAsia="Microsoft YaHei"/>
                <w:b/>
                <w:color w:val="0B2545"/>
              </w:rPr>
            </w:r>
            <w:r>
              <w:rPr>
                <w:rFonts w:eastAsia="Microsoft YaHei"/>
                <w:b/>
                <w:color w:val="0B2545"/>
                <w:sz w:val="17"/>
              </w:rPr>
              <w:t>Core activity</w:t>
            </w:r>
          </w:p>
        </w:tc>
        <w:tc>
          <w:tcPr>
            <w:tcW w:type="dxa" w:w="850"/>
            <w:shd w:fill="E8EEF5"/>
            <w:tcMar>
              <w:top w:w="80" w:type="dxa"/>
              <w:start w:w="120" w:type="dxa"/>
              <w:bottom w:w="80" w:type="dxa"/>
              <w:end w:w="120" w:type="dxa"/>
            </w:tcMar>
            <w:vAlign w:val="center"/>
          </w:tcPr>
          <w:p>
            <w:pPr>
              <w:spacing w:before="0" w:after="0" w:line="269" w:lineRule="auto"/>
            </w:pPr>
            <w:r>
              <w:rPr>
                <w:rFonts w:eastAsia="Microsoft YaHei"/>
                <w:b/>
                <w:color w:val="0B2545"/>
              </w:rPr>
            </w:r>
            <w:r>
              <w:rPr>
                <w:rFonts w:eastAsia="Microsoft YaHei"/>
                <w:b/>
                <w:color w:val="0B2545"/>
                <w:sz w:val="17"/>
              </w:rPr>
              <w:t>Primary ERQ</w:t>
            </w:r>
          </w:p>
        </w:tc>
      </w:tr>
      <w:tr>
        <w:tc>
          <w:tcPr>
            <w:tcW w:type="dxa" w:w="950"/>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0:00-0:02</w:t>
            </w:r>
          </w:p>
        </w:tc>
        <w:tc>
          <w:tcPr>
            <w:tcW w:type="dxa" w:w="2188"/>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Introduction</w:t>
            </w:r>
          </w:p>
        </w:tc>
        <w:tc>
          <w:tcPr>
            <w:tcW w:type="dxa" w:w="5372"/>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Consent, study framing, recording check.</w:t>
            </w:r>
          </w:p>
        </w:tc>
        <w:tc>
          <w:tcPr>
            <w:tcW w:type="dxa" w:w="850"/>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Context only</w:t>
            </w:r>
          </w:p>
        </w:tc>
      </w:tr>
      <w:tr>
        <w:tc>
          <w:tcPr>
            <w:tcW w:type="dxa" w:w="950"/>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0:02-0:07</w:t>
            </w:r>
          </w:p>
        </w:tc>
        <w:tc>
          <w:tcPr>
            <w:tcW w:type="dxa" w:w="2188"/>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WebHarbor exploration</w:t>
            </w:r>
          </w:p>
        </w:tc>
        <w:tc>
          <w:tcPr>
            <w:tcW w:type="dxa" w:w="5372"/>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Choose one of three quota-open sites; identify a task and stopping condition.</w:t>
            </w:r>
          </w:p>
        </w:tc>
        <w:tc>
          <w:tcPr>
            <w:tcW w:type="dxa" w:w="850"/>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ERQ1</w:t>
            </w:r>
          </w:p>
        </w:tc>
      </w:tr>
      <w:tr>
        <w:tc>
          <w:tcPr>
            <w:tcW w:type="dxa" w:w="950"/>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0:07-0:12</w:t>
            </w:r>
          </w:p>
        </w:tc>
        <w:tc>
          <w:tcPr>
            <w:tcW w:type="dxa" w:w="2188"/>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Configure Agents A/B</w:t>
            </w:r>
          </w:p>
        </w:tc>
        <w:tc>
          <w:tcPr>
            <w:tcW w:type="dxa" w:w="5372"/>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Create a task-relevant behavioral contrast.</w:t>
            </w:r>
          </w:p>
        </w:tc>
        <w:tc>
          <w:tcPr>
            <w:tcW w:type="dxa" w:w="850"/>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ERQ1</w:t>
            </w:r>
          </w:p>
        </w:tc>
      </w:tr>
      <w:tr>
        <w:tc>
          <w:tcPr>
            <w:tcW w:type="dxa" w:w="950"/>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0:12-0:22</w:t>
            </w:r>
          </w:p>
        </w:tc>
        <w:tc>
          <w:tcPr>
            <w:tcW w:type="dxa" w:w="2188"/>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Parallel runs + initial interview</w:t>
            </w:r>
          </w:p>
        </w:tc>
        <w:tc>
          <w:tcPr>
            <w:tcW w:type="dxa" w:w="5372"/>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Runs execute while moderator elicits rationale, expectations, and initial mental model.</w:t>
            </w:r>
          </w:p>
        </w:tc>
        <w:tc>
          <w:tcPr>
            <w:tcW w:type="dxa" w:w="850"/>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ERQ1; ERQ2 baseline</w:t>
            </w:r>
          </w:p>
        </w:tc>
      </w:tr>
      <w:tr>
        <w:tc>
          <w:tcPr>
            <w:tcW w:type="dxa" w:w="950"/>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0:22-0:37</w:t>
            </w:r>
          </w:p>
        </w:tc>
        <w:tc>
          <w:tcPr>
            <w:tcW w:type="dxa" w:w="2188"/>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Aligned comparison</w:t>
            </w:r>
          </w:p>
        </w:tc>
        <w:tc>
          <w:tcPr>
            <w:tcW w:type="dxa" w:w="5372"/>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Participant compares trajectories and develops an explanation.</w:t>
            </w:r>
          </w:p>
        </w:tc>
        <w:tc>
          <w:tcPr>
            <w:tcW w:type="dxa" w:w="850"/>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ERQ2; ERQ3 precursor</w:t>
            </w:r>
          </w:p>
        </w:tc>
      </w:tr>
      <w:tr>
        <w:tc>
          <w:tcPr>
            <w:tcW w:type="dxa" w:w="950"/>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0:37-0:40</w:t>
            </w:r>
          </w:p>
        </w:tc>
        <w:tc>
          <w:tcPr>
            <w:tcW w:type="dxa" w:w="2188"/>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Reconfigure</w:t>
            </w:r>
          </w:p>
        </w:tc>
        <w:tc>
          <w:tcPr>
            <w:tcW w:type="dxa" w:w="5372"/>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Make one targeted change and state a predicted effect and falsifier.</w:t>
            </w:r>
          </w:p>
        </w:tc>
        <w:tc>
          <w:tcPr>
            <w:tcW w:type="dxa" w:w="850"/>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ERQ3</w:t>
            </w:r>
          </w:p>
        </w:tc>
      </w:tr>
      <w:tr>
        <w:tc>
          <w:tcPr>
            <w:tcW w:type="dxa" w:w="950"/>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0:40-0:47</w:t>
            </w:r>
          </w:p>
        </w:tc>
        <w:tc>
          <w:tcPr>
            <w:tcW w:type="dxa" w:w="2188"/>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Revised run + mental-model interview</w:t>
            </w:r>
          </w:p>
        </w:tc>
        <w:tc>
          <w:tcPr>
            <w:tcW w:type="dxa" w:w="5372"/>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Revised run executes while participant summarizes the updated model and EvalAgent’s role.</w:t>
            </w:r>
          </w:p>
        </w:tc>
        <w:tc>
          <w:tcPr>
            <w:tcW w:type="dxa" w:w="850"/>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ERQ2</w:t>
            </w:r>
          </w:p>
        </w:tc>
      </w:tr>
      <w:tr>
        <w:tc>
          <w:tcPr>
            <w:tcW w:type="dxa" w:w="950"/>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0:47-0:50</w:t>
            </w:r>
          </w:p>
        </w:tc>
        <w:tc>
          <w:tcPr>
            <w:tcW w:type="dxa" w:w="2188"/>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Revised-run check</w:t>
            </w:r>
          </w:p>
        </w:tc>
        <w:tc>
          <w:tcPr>
            <w:tcW w:type="dxa" w:w="5372"/>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Inspect result, classify the probe, and state remaining uncertainty.</w:t>
            </w:r>
          </w:p>
        </w:tc>
        <w:tc>
          <w:tcPr>
            <w:tcW w:type="dxa" w:w="850"/>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ERQ3</w:t>
            </w:r>
          </w:p>
        </w:tc>
      </w:tr>
    </w:tbl>
    <w:p>
      <w:pPr>
        <w:spacing w:after="40"/>
      </w:pPr>
    </w:p>
    <w:p>
      <w:pPr>
        <w:pStyle w:val="Heading1"/>
      </w:pPr>
      <w:r>
        <w:rPr>
          <w:rFonts w:eastAsia="Microsoft YaHei"/>
        </w:rPr>
        <w:t>8. Detailed moderator protocol</w:t>
      </w:r>
    </w:p>
    <w:p>
      <w:r>
        <w:rPr>
          <w:rFonts w:eastAsia="Microsoft YaHei"/>
        </w:rPr>
        <w:t>The protocol uses the minimum number of integrative research questions needed at each stage. The moderator asks each question once and lets the participant answer naturally; the clauses after the first comma are coverage cues, not a checklist of separate prompts. A neutral follow-up such as “Could you say more about that?” is allowed only when the answer is unclear. Every substantive question is tagged with the ERQ it encodes. Consent, safety, task-entry, and stopping-condition checks are procedural and are not treated as research questions.</w:t>
      </w:r>
    </w:p>
    <w:p>
      <w:pPr>
        <w:pStyle w:val="Heading2"/>
      </w:pPr>
      <w:r>
        <w:rPr>
          <w:rFonts w:eastAsia="Microsoft YaHei"/>
        </w:rPr>
        <w:t>8.1 Stage 0 - Introduction and consent (0:00-0:02)</w:t>
      </w:r>
    </w:p>
    <w:p>
      <w:r>
        <w:rPr>
          <w:rFonts w:eastAsia="Microsoft YaHei"/>
          <w:b/>
        </w:rPr>
        <w:t>Objective.</w:t>
      </w:r>
      <w:r>
        <w:rPr>
          <w:rFonts w:eastAsia="Microsoft YaHei"/>
        </w:rPr>
        <w:t xml:space="preserve"> Establish consent, reduce evaluation anxiety, and explain that the study concerns the participant’s reasoning rather than task speed or a “correct” configuration.</w:t>
      </w:r>
    </w:p>
    <w:p>
      <w:r>
        <w:rPr>
          <w:rFonts w:eastAsia="Microsoft YaHei"/>
          <w:b/>
        </w:rPr>
        <w:t>Moderator script.</w:t>
      </w:r>
    </w:p>
    <w:p>
      <w:pPr>
        <w:pStyle w:val="Quote"/>
      </w:pPr>
      <w:r>
        <w:rPr>
          <w:rFonts w:eastAsia="Microsoft YaHei"/>
        </w:rPr>
        <w:t>In this session, you will choose a task in a safe website replica, configure two agents differently, compare what they do, and make one revision. We are studying how you understand agent behavior, not whether you find the one correct prompt. Please explain what you notice and how your explanation changes. The replicas contain no real transactions or external effects. You may stop at any time.</w:t>
      </w:r>
    </w:p>
    <w:p>
      <w:r>
        <w:rPr>
          <w:rFonts w:eastAsia="Microsoft YaHei"/>
          <w:b/>
        </w:rPr>
        <w:t>Ask.</w:t>
      </w:r>
    </w:p>
    <w:p>
      <w:pPr>
        <w:pStyle w:val="ListBullet"/>
        <w:numPr>
          <w:ilvl w:val="0"/>
          <w:numId w:val="91"/>
        </w:numPr>
      </w:pPr>
      <w:r>
        <w:rPr>
          <w:rFonts w:eastAsia="Microsoft YaHei"/>
        </w:rPr>
        <w:t>Do you consent to screen and audio recording?</w:t>
      </w:r>
    </w:p>
    <w:p>
      <w:pPr>
        <w:pStyle w:val="ListBullet"/>
        <w:numPr>
          <w:ilvl w:val="0"/>
          <w:numId w:val="91"/>
        </w:numPr>
      </w:pPr>
      <w:r>
        <w:rPr>
          <w:rFonts w:eastAsia="Microsoft YaHei"/>
        </w:rPr>
        <w:t>Is anything unclear about the task or the safe replica environment?</w:t>
      </w:r>
    </w:p>
    <w:p>
      <w:r>
        <w:rPr>
          <w:rFonts w:eastAsia="Microsoft YaHei"/>
          <w:b/>
        </w:rPr>
        <w:t>Record.</w:t>
      </w:r>
    </w:p>
    <w:p>
      <w:pPr>
        <w:pStyle w:val="ListBullet"/>
        <w:numPr>
          <w:ilvl w:val="0"/>
          <w:numId w:val="91"/>
        </w:numPr>
      </w:pPr>
      <w:r>
        <w:rPr>
          <w:rFonts w:eastAsia="Microsoft YaHei"/>
        </w:rPr>
        <w:t>Participant ID, consent status, and recording status.</w:t>
      </w:r>
    </w:p>
    <w:p>
      <w:r>
        <w:rPr>
          <w:rFonts w:eastAsia="Microsoft YaHei"/>
          <w:b/>
        </w:rPr>
        <w:t>RQ mapping.</w:t>
      </w:r>
      <w:r>
        <w:rPr>
          <w:rFonts w:eastAsia="Microsoft YaHei"/>
        </w:rPr>
        <w:t xml:space="preserve"> Context only; not analyzed as evidence for an ERQ.</w:t>
      </w:r>
    </w:p>
    <w:p>
      <w:pPr>
        <w:pStyle w:val="Heading2"/>
      </w:pPr>
      <w:r>
        <w:rPr>
          <w:rFonts w:eastAsia="Microsoft YaHei"/>
        </w:rPr>
        <w:t>8.2 Stage 1 - Explore WebHarbor and choose a task (0:02-0:07)</w:t>
      </w:r>
    </w:p>
    <w:p>
      <w:r>
        <w:rPr>
          <w:rFonts w:eastAsia="Microsoft YaHei"/>
          <w:b/>
        </w:rPr>
        <w:t>Objective.</w:t>
      </w:r>
      <w:r>
        <w:rPr>
          <w:rFonts w:eastAsia="Microsoft YaHei"/>
        </w:rPr>
        <w:t xml:space="preserve"> Allow grounded, onsite task selection without burdensome pre-work or interrupting exploration with interview questions.</w:t>
      </w:r>
    </w:p>
    <w:p>
      <w:r>
        <w:rPr>
          <w:rFonts w:eastAsia="Microsoft YaHei"/>
          <w:b/>
        </w:rPr>
        <w:t>Moderator action.</w:t>
      </w:r>
      <w:r>
        <w:rPr>
          <w:rFonts w:eastAsia="Microsoft YaHei"/>
        </w:rPr>
        <w:t xml:space="preserve"> Present three quota-open replicas from different domain families. Start a five-minute visible timer. Allow free exploration; answer only environment or safety questions.</w:t>
      </w:r>
    </w:p>
    <w:p>
      <w:r>
        <w:rPr>
          <w:rFonts w:eastAsia="Microsoft YaHei"/>
          <w:b/>
        </w:rPr>
        <w:t>Research questions.</w:t>
      </w:r>
      <w:r>
        <w:rPr>
          <w:rFonts w:eastAsia="Microsoft YaHei"/>
        </w:rPr>
        <w:t xml:space="preserve"> None. The participant explores, selects a site, and enters a task and stopping condition without being interviewed. If the task exceeds the session budget, the moderator gives a procedural instruction to narrow the endpoint without asking the participant to justify the choice.</w:t>
      </w:r>
    </w:p>
    <w:p>
      <w:r>
        <w:rPr>
          <w:rFonts w:eastAsia="Microsoft YaHei"/>
          <w:b/>
        </w:rPr>
        <w:t>Record.</w:t>
      </w:r>
    </w:p>
    <w:p>
      <w:pPr>
        <w:pStyle w:val="ListBullet"/>
        <w:numPr>
          <w:ilvl w:val="0"/>
          <w:numId w:val="91"/>
        </w:numPr>
      </w:pPr>
      <w:r>
        <w:rPr>
          <w:rFonts w:eastAsia="Microsoft YaHei"/>
        </w:rPr>
        <w:t>Selected site/domain family, final task wording, and participant-entered stopping condition.</w:t>
      </w:r>
    </w:p>
    <w:p>
      <w:r>
        <w:rPr>
          <w:rFonts w:eastAsia="Microsoft YaHei"/>
          <w:b/>
        </w:rPr>
        <w:t>RQ mapping.</w:t>
      </w:r>
      <w:r>
        <w:rPr>
          <w:rFonts w:eastAsia="Microsoft YaHei"/>
        </w:rPr>
        <w:t xml:space="preserve"> ERQ1. These data establish the task context from which the configuration contrast is framed.</w:t>
      </w:r>
    </w:p>
    <w:p>
      <w:pPr>
        <w:pStyle w:val="Heading2"/>
      </w:pPr>
      <w:r>
        <w:rPr>
          <w:rFonts w:eastAsia="Microsoft YaHei"/>
        </w:rPr>
        <w:t>8.3 Stage 2 - Configure Agents A and B (0:07-0:12)</w:t>
      </w:r>
    </w:p>
    <w:p>
      <w:r>
        <w:rPr>
          <w:rFonts w:eastAsia="Microsoft YaHei"/>
          <w:b/>
        </w:rPr>
        <w:t>Objective.</w:t>
      </w:r>
      <w:r>
        <w:rPr>
          <w:rFonts w:eastAsia="Microsoft YaHei"/>
        </w:rPr>
        <w:t xml:space="preserve"> Capture how the participant turns task understanding into two deliberately contrasting configurations.</w:t>
      </w:r>
    </w:p>
    <w:p>
      <w:r>
        <w:rPr>
          <w:rFonts w:eastAsia="Microsoft YaHei"/>
          <w:b/>
        </w:rPr>
        <w:t>Moderator script.</w:t>
      </w:r>
    </w:p>
    <w:p>
      <w:pPr>
        <w:pStyle w:val="Quote"/>
      </w:pPr>
      <w:r>
        <w:rPr>
          <w:rFonts w:eastAsia="Microsoft YaHei"/>
        </w:rPr>
        <w:t>Please configure two agents for the same task. Keep the task itself unchanged. Make A and B different in a way that you believe could lead to meaningfully different behavior. The contrast is your choice.</w:t>
      </w:r>
    </w:p>
    <w:p>
      <w:r>
        <w:rPr>
          <w:rFonts w:eastAsia="Microsoft YaHei"/>
          <w:b/>
        </w:rPr>
        <w:t>Research question.</w:t>
      </w:r>
    </w:p>
    <w:p>
      <w:pPr>
        <w:pStyle w:val="ListBullet"/>
        <w:numPr>
          <w:ilvl w:val="0"/>
          <w:numId w:val="91"/>
        </w:numPr>
      </w:pPr>
      <w:r>
        <w:rPr>
          <w:rFonts w:eastAsia="Microsoft YaHei"/>
          <w:b/>
        </w:rPr>
        <w:t>[ERQ1]</w:t>
      </w:r>
      <w:r>
        <w:rPr>
          <w:rFonts w:eastAsia="Microsoft YaHei"/>
        </w:rPr>
        <w:t xml:space="preserve"> In one sentence, what is the core configuration difference between Agent A and Agent B, and why is that difference relevant to this task?</w:t>
      </w:r>
    </w:p>
    <w:p>
      <w:r>
        <w:rPr>
          <w:rFonts w:eastAsia="Microsoft YaHei"/>
        </w:rPr>
        <w:t>Do not require the participant to formalize criteria or justify every field. If they finish early, ask them to review the intended contrast, not to add complexity.</w:t>
      </w:r>
    </w:p>
    <w:p>
      <w:r>
        <w:rPr>
          <w:rFonts w:eastAsia="Microsoft YaHei"/>
          <w:b/>
        </w:rPr>
        <w:t>Record.</w:t>
      </w:r>
    </w:p>
    <w:p>
      <w:pPr>
        <w:pStyle w:val="ListBullet"/>
        <w:numPr>
          <w:ilvl w:val="0"/>
          <w:numId w:val="91"/>
        </w:numPr>
      </w:pPr>
      <w:r>
        <w:rPr>
          <w:rFonts w:eastAsia="Microsoft YaHei"/>
        </w:rPr>
        <w:t>Exact versioned configurations for A and B.</w:t>
      </w:r>
    </w:p>
    <w:p>
      <w:pPr>
        <w:pStyle w:val="ListBullet"/>
        <w:numPr>
          <w:ilvl w:val="0"/>
          <w:numId w:val="91"/>
        </w:numPr>
      </w:pPr>
      <w:r>
        <w:rPr>
          <w:rFonts w:eastAsia="Microsoft YaHei"/>
        </w:rPr>
        <w:t>Participant’s one-sentence statement of the main contrast and its relevance to the task.</w:t>
      </w:r>
    </w:p>
    <w:p>
      <w:r>
        <w:rPr>
          <w:rFonts w:eastAsia="Microsoft YaHei"/>
          <w:b/>
        </w:rPr>
        <w:t>RQ mapping.</w:t>
      </w:r>
      <w:r>
        <w:rPr>
          <w:rFonts w:eastAsia="Microsoft YaHei"/>
        </w:rPr>
        <w:t xml:space="preserve"> ERQ1.</w:t>
      </w:r>
    </w:p>
    <w:p>
      <w:pPr>
        <w:pStyle w:val="Heading2"/>
      </w:pPr>
      <w:r>
        <w:rPr>
          <w:rFonts w:eastAsia="Microsoft YaHei"/>
        </w:rPr>
        <w:t>8.4 Stage 3 - Parallel initial runs and initial interview (0:12-0:22)</w:t>
      </w:r>
    </w:p>
    <w:p>
      <w:r>
        <w:rPr>
          <w:rFonts w:eastAsia="Microsoft YaHei"/>
          <w:b/>
        </w:rPr>
        <w:t>Objective.</w:t>
      </w:r>
      <w:r>
        <w:rPr>
          <w:rFonts w:eastAsia="Microsoft YaHei"/>
        </w:rPr>
        <w:t xml:space="preserve"> Use otherwise idle runtime to capture expectations and the participant’s initial explanation before trajectory evidence is visible.</w:t>
      </w:r>
    </w:p>
    <w:p>
      <w:r>
        <w:rPr>
          <w:rFonts w:eastAsia="Microsoft YaHei"/>
          <w:b/>
        </w:rPr>
        <w:t>System action.</w:t>
      </w:r>
      <w:r>
        <w:rPr>
          <w:rFonts w:eastAsia="Microsoft YaHei"/>
        </w:rPr>
        <w:t xml:space="preserve"> Start A and B simultaneously. Hide partial trajectories until both finish or reach the same timeout.</w:t>
      </w:r>
    </w:p>
    <w:p>
      <w:r>
        <w:rPr>
          <w:rFonts w:eastAsia="Microsoft YaHei"/>
          <w:b/>
        </w:rPr>
        <w:t>Research question.</w:t>
      </w:r>
    </w:p>
    <w:p>
      <w:pPr>
        <w:pStyle w:val="ListBullet"/>
        <w:numPr>
          <w:ilvl w:val="0"/>
          <w:numId w:val="91"/>
        </w:numPr>
      </w:pPr>
      <w:r>
        <w:rPr>
          <w:rFonts w:eastAsia="Microsoft YaHei"/>
          <w:b/>
        </w:rPr>
        <w:t>[ERQ1 + ERQ2]</w:t>
      </w:r>
      <w:r>
        <w:rPr>
          <w:rFonts w:eastAsia="Microsoft YaHei"/>
        </w:rPr>
        <w:t xml:space="preserve"> Before seeing the trajectories, how do you expect A and B to behave differently, why do you think the configuration may produce that difference, and what else might affect the result?</w:t>
      </w:r>
    </w:p>
    <w:p>
      <w:r>
        <w:rPr>
          <w:rFonts w:eastAsia="Microsoft YaHei"/>
          <w:b/>
        </w:rPr>
        <w:t>Record.</w:t>
      </w:r>
    </w:p>
    <w:p>
      <w:pPr>
        <w:pStyle w:val="ListBullet"/>
        <w:numPr>
          <w:ilvl w:val="0"/>
          <w:numId w:val="91"/>
        </w:numPr>
      </w:pPr>
      <w:r>
        <w:rPr>
          <w:rFonts w:eastAsia="Microsoft YaHei"/>
        </w:rPr>
        <w:t>Predicted behavioral difference and the participant’s initial explanation.</w:t>
      </w:r>
    </w:p>
    <w:p>
      <w:pPr>
        <w:pStyle w:val="ListBullet"/>
        <w:numPr>
          <w:ilvl w:val="0"/>
          <w:numId w:val="91"/>
        </w:numPr>
      </w:pPr>
      <w:r>
        <w:rPr>
          <w:rFonts w:eastAsia="Microsoft YaHei"/>
        </w:rPr>
        <w:t>Initial run outcome or technical failure status.</w:t>
      </w:r>
    </w:p>
    <w:p>
      <w:r>
        <w:rPr>
          <w:rFonts w:eastAsia="Microsoft YaHei"/>
          <w:b/>
        </w:rPr>
        <w:t>RQ mapping.</w:t>
      </w:r>
      <w:r>
        <w:rPr>
          <w:rFonts w:eastAsia="Microsoft YaHei"/>
        </w:rPr>
        <w:t xml:space="preserve"> ERQ1 for expectations and contrast rationale; baseline evidence for ERQ2 mental-model change.</w:t>
      </w:r>
    </w:p>
    <w:p>
      <w:pPr>
        <w:pStyle w:val="Heading2"/>
      </w:pPr>
      <w:r>
        <w:rPr>
          <w:rFonts w:eastAsia="Microsoft YaHei"/>
        </w:rPr>
        <w:t>8.5 Stage 4 - Compare aligned trajectories (0:22-0:37)</w:t>
      </w:r>
    </w:p>
    <w:p>
      <w:r>
        <w:rPr>
          <w:rFonts w:eastAsia="Microsoft YaHei"/>
          <w:b/>
        </w:rPr>
        <w:t>Objective.</w:t>
      </w:r>
      <w:r>
        <w:rPr>
          <w:rFonts w:eastAsia="Microsoft YaHei"/>
        </w:rPr>
        <w:t xml:space="preserve"> Observe how the participant uses EvalAgent to identify meaningful differences, connect them to configuration, handle surprises, and update an explanation.</w:t>
      </w:r>
    </w:p>
    <w:p>
      <w:r>
        <w:rPr>
          <w:rFonts w:eastAsia="Microsoft YaHei"/>
          <w:b/>
        </w:rPr>
        <w:t>Moderator script.</w:t>
      </w:r>
    </w:p>
    <w:p>
      <w:pPr>
        <w:pStyle w:val="Quote"/>
      </w:pPr>
      <w:r>
        <w:rPr>
          <w:rFonts w:eastAsia="Microsoft YaHei"/>
        </w:rPr>
        <w:t>Both trajectories are now available. Please compare them in whatever way makes sense to you. Think aloud about what you inspect, what you believe is meaningful, and when your explanation changes.</w:t>
      </w:r>
    </w:p>
    <w:p>
      <w:r>
        <w:rPr>
          <w:rFonts w:eastAsia="Microsoft YaHei"/>
          <w:b/>
        </w:rPr>
        <w:t>Research questions.</w:t>
      </w:r>
    </w:p>
    <w:p>
      <w:pPr>
        <w:pStyle w:val="ListBullet"/>
        <w:numPr>
          <w:ilvl w:val="0"/>
          <w:numId w:val="91"/>
        </w:numPr>
      </w:pPr>
      <w:r>
        <w:rPr>
          <w:rFonts w:eastAsia="Microsoft YaHei"/>
          <w:b/>
        </w:rPr>
        <w:t>[ERQ2]</w:t>
      </w:r>
      <w:r>
        <w:rPr>
          <w:rFonts w:eastAsia="Microsoft YaHei"/>
        </w:rPr>
        <w:t xml:space="preserve"> Which similarities or differences appear meaningful rather than incidental, what trajectory evidence supports that judgment, and how does it change or confirm your initial expectation about the configuration’s effect?</w:t>
      </w:r>
    </w:p>
    <w:p>
      <w:pPr>
        <w:pStyle w:val="ListBullet"/>
        <w:numPr>
          <w:ilvl w:val="0"/>
          <w:numId w:val="91"/>
        </w:numPr>
      </w:pPr>
      <w:r>
        <w:rPr>
          <w:rFonts w:eastAsia="Microsoft YaHei"/>
          <w:b/>
        </w:rPr>
        <w:t>[ERQ2]</w:t>
      </w:r>
      <w:r>
        <w:rPr>
          <w:rFonts w:eastAsia="Microsoft YaHei"/>
        </w:rPr>
        <w:t xml:space="preserve"> Is there any behavior you still cannot explain clearly, and what else would you want to inspect in the trajectories to understand it?</w:t>
      </w:r>
    </w:p>
    <w:p>
      <w:r>
        <w:rPr>
          <w:rFonts w:eastAsia="Microsoft YaHei"/>
        </w:rPr>
        <w:t>The moderator avoids leading statements such as “Is this because of the prompt?” and avoids asking for a criterion after every observation.</w:t>
      </w:r>
    </w:p>
    <w:p>
      <w:r>
        <w:rPr>
          <w:rFonts w:eastAsia="Microsoft YaHei"/>
          <w:b/>
        </w:rPr>
        <w:t>Record.</w:t>
      </w:r>
    </w:p>
    <w:p>
      <w:pPr>
        <w:pStyle w:val="ListBullet"/>
        <w:numPr>
          <w:ilvl w:val="0"/>
          <w:numId w:val="91"/>
        </w:numPr>
      </w:pPr>
      <w:r>
        <w:rPr>
          <w:rFonts w:eastAsia="Microsoft YaHei"/>
        </w:rPr>
        <w:t>The key trajectory moment(s) the participant chooses to discuss.</w:t>
      </w:r>
    </w:p>
    <w:p>
      <w:pPr>
        <w:pStyle w:val="ListBullet"/>
        <w:numPr>
          <w:ilvl w:val="0"/>
          <w:numId w:val="91"/>
        </w:numPr>
      </w:pPr>
      <w:r>
        <w:rPr>
          <w:rFonts w:eastAsia="Microsoft YaHei"/>
        </w:rPr>
        <w:t>The participant’s interpretation of each key moment and whether it changes the initial explanation.</w:t>
      </w:r>
    </w:p>
    <w:p>
      <w:r>
        <w:rPr>
          <w:rFonts w:eastAsia="Microsoft YaHei"/>
          <w:b/>
        </w:rPr>
        <w:t>RQ mapping.</w:t>
      </w:r>
      <w:r>
        <w:rPr>
          <w:rFonts w:eastAsia="Microsoft YaHei"/>
        </w:rPr>
        <w:t xml:space="preserve"> Primarily ERQ2. Observations that motivate a possible revision are also precursors for ERQ3.</w:t>
      </w:r>
    </w:p>
    <w:p>
      <w:pPr>
        <w:pStyle w:val="Heading2"/>
      </w:pPr>
      <w:r>
        <w:rPr>
          <w:rFonts w:eastAsia="Microsoft YaHei"/>
        </w:rPr>
        <w:t>8.6 Stage 5 - Create one configuration probe (0:37-0:40)</w:t>
      </w:r>
    </w:p>
    <w:p>
      <w:r>
        <w:rPr>
          <w:rFonts w:eastAsia="Microsoft YaHei"/>
          <w:b/>
        </w:rPr>
        <w:t>Objective.</w:t>
      </w:r>
      <w:r>
        <w:rPr>
          <w:rFonts w:eastAsia="Microsoft YaHei"/>
        </w:rPr>
        <w:t xml:space="preserve"> Test whether the participant can turn the current explanation into a focused, falsifiable configuration revision.</w:t>
      </w:r>
    </w:p>
    <w:p>
      <w:r>
        <w:rPr>
          <w:rFonts w:eastAsia="Microsoft YaHei"/>
          <w:b/>
        </w:rPr>
        <w:t>Moderator script.</w:t>
      </w:r>
    </w:p>
    <w:p>
      <w:pPr>
        <w:pStyle w:val="Quote"/>
      </w:pPr>
      <w:r>
        <w:rPr>
          <w:rFonts w:eastAsia="Microsoft YaHei"/>
        </w:rPr>
        <w:t>Based on what you now understand, make one targeted change to one configuration. The purpose is to probe your explanation, not to optimize everything.</w:t>
      </w:r>
    </w:p>
    <w:p>
      <w:r>
        <w:rPr>
          <w:rFonts w:eastAsia="Microsoft YaHei"/>
          <w:b/>
        </w:rPr>
        <w:t>Research questions.</w:t>
      </w:r>
    </w:p>
    <w:p>
      <w:pPr>
        <w:pStyle w:val="ListBullet"/>
        <w:numPr>
          <w:ilvl w:val="0"/>
          <w:numId w:val="91"/>
        </w:numPr>
      </w:pPr>
      <w:r>
        <w:rPr>
          <w:rFonts w:eastAsia="Microsoft YaHei"/>
          <w:b/>
        </w:rPr>
        <w:t>[ERQ3]</w:t>
      </w:r>
      <w:r>
        <w:rPr>
          <w:rFonts w:eastAsia="Microsoft YaHei"/>
        </w:rPr>
        <w:t xml:space="preserve"> Which observation motivates your revision, what is the smallest diagnostic configuration change you will make, and what will you deliberately preserve?</w:t>
      </w:r>
    </w:p>
    <w:p>
      <w:pPr>
        <w:pStyle w:val="ListBullet"/>
        <w:numPr>
          <w:ilvl w:val="0"/>
          <w:numId w:val="91"/>
        </w:numPr>
      </w:pPr>
      <w:r>
        <w:rPr>
          <w:rFonts w:eastAsia="Microsoft YaHei"/>
          <w:b/>
        </w:rPr>
        <w:t>[ERQ3]</w:t>
      </w:r>
      <w:r>
        <w:rPr>
          <w:rFonts w:eastAsia="Microsoft YaHei"/>
        </w:rPr>
        <w:t xml:space="preserve"> What behavioral change do you predict, and what result would support or challenge your explanation?</w:t>
      </w:r>
    </w:p>
    <w:p>
      <w:r>
        <w:rPr>
          <w:rFonts w:eastAsia="Microsoft YaHei"/>
        </w:rPr>
        <w:t>If the participant proposes many changes, ask them to choose the one most diagnostic change. Do not require a successful fix.</w:t>
      </w:r>
    </w:p>
    <w:p>
      <w:r>
        <w:rPr>
          <w:rFonts w:eastAsia="Microsoft YaHei"/>
          <w:b/>
        </w:rPr>
        <w:t>Record.</w:t>
      </w:r>
    </w:p>
    <w:p>
      <w:pPr>
        <w:pStyle w:val="ListBullet"/>
        <w:numPr>
          <w:ilvl w:val="0"/>
          <w:numId w:val="91"/>
        </w:numPr>
      </w:pPr>
      <w:r>
        <w:rPr>
          <w:rFonts w:eastAsia="Microsoft YaHei"/>
        </w:rPr>
        <w:t>The key trajectory moment motivating the revision and the exact before/after configuration diff.</w:t>
      </w:r>
    </w:p>
    <w:p>
      <w:pPr>
        <w:pStyle w:val="ListBullet"/>
        <w:numPr>
          <w:ilvl w:val="0"/>
          <w:numId w:val="91"/>
        </w:numPr>
      </w:pPr>
      <w:r>
        <w:rPr>
          <w:rFonts w:eastAsia="Microsoft YaHei"/>
        </w:rPr>
        <w:t>Predicted behavioral change and the observation that would support or challenge the explanation.</w:t>
      </w:r>
    </w:p>
    <w:p>
      <w:r>
        <w:rPr>
          <w:rFonts w:eastAsia="Microsoft YaHei"/>
          <w:b/>
        </w:rPr>
        <w:t>RQ mapping.</w:t>
      </w:r>
      <w:r>
        <w:rPr>
          <w:rFonts w:eastAsia="Microsoft YaHei"/>
        </w:rPr>
        <w:t xml:space="preserve"> ERQ3.</w:t>
      </w:r>
    </w:p>
    <w:p>
      <w:pPr>
        <w:pStyle w:val="Heading2"/>
      </w:pPr>
      <w:r>
        <w:rPr>
          <w:rFonts w:eastAsia="Microsoft YaHei"/>
        </w:rPr>
        <w:t>8.7 Stage 6 - Revised run and mental-model interview (0:40-0:47)</w:t>
      </w:r>
    </w:p>
    <w:p>
      <w:r>
        <w:rPr>
          <w:rFonts w:eastAsia="Microsoft YaHei"/>
          <w:b/>
        </w:rPr>
        <w:t>Objective.</w:t>
      </w:r>
      <w:r>
        <w:rPr>
          <w:rFonts w:eastAsia="Microsoft YaHei"/>
        </w:rPr>
        <w:t xml:space="preserve"> Capture a concise, consolidated explanation before the revised result appears and identify which EvalAgent resource most shaped it.</w:t>
      </w:r>
    </w:p>
    <w:p>
      <w:r>
        <w:rPr>
          <w:rFonts w:eastAsia="Microsoft YaHei"/>
          <w:b/>
        </w:rPr>
        <w:t>System action.</w:t>
      </w:r>
      <w:r>
        <w:rPr>
          <w:rFonts w:eastAsia="Microsoft YaHei"/>
        </w:rPr>
        <w:t xml:space="preserve"> Run the revised configuration with the same task, model, site state, tools, maximum steps, and timeout.</w:t>
      </w:r>
    </w:p>
    <w:p>
      <w:r>
        <w:rPr>
          <w:rFonts w:eastAsia="Microsoft YaHei"/>
          <w:b/>
        </w:rPr>
        <w:t>Research question.</w:t>
      </w:r>
    </w:p>
    <w:p>
      <w:pPr>
        <w:pStyle w:val="ListBullet"/>
        <w:numPr>
          <w:ilvl w:val="0"/>
          <w:numId w:val="91"/>
        </w:numPr>
      </w:pPr>
      <w:r>
        <w:rPr>
          <w:rFonts w:eastAsia="Microsoft YaHei"/>
          <w:b/>
        </w:rPr>
        <w:t>[ERQ2]</w:t>
      </w:r>
      <w:r>
        <w:rPr>
          <w:rFonts w:eastAsia="Microsoft YaHei"/>
        </w:rPr>
        <w:t xml:space="preserve"> Looking back across the comparison, how do you now understand the relationship between configuration and behavior, and which part of EvalAgent-alignment, raw actions, screenshots, criteria, Judge output, or something else-most shaped that understanding?</w:t>
      </w:r>
    </w:p>
    <w:p>
      <w:r>
        <w:rPr>
          <w:rFonts w:eastAsia="Microsoft YaHei"/>
          <w:b/>
        </w:rPr>
        <w:t>Record.</w:t>
      </w:r>
    </w:p>
    <w:p>
      <w:pPr>
        <w:pStyle w:val="ListBullet"/>
        <w:numPr>
          <w:ilvl w:val="0"/>
          <w:numId w:val="91"/>
        </w:numPr>
      </w:pPr>
      <w:r>
        <w:rPr>
          <w:rFonts w:eastAsia="Microsoft YaHei"/>
        </w:rPr>
        <w:t>One concise post-comparison explanation of the configuration-behavior relationship.</w:t>
      </w:r>
    </w:p>
    <w:p>
      <w:pPr>
        <w:pStyle w:val="ListBullet"/>
        <w:numPr>
          <w:ilvl w:val="0"/>
          <w:numId w:val="91"/>
        </w:numPr>
      </w:pPr>
      <w:r>
        <w:rPr>
          <w:rFonts w:eastAsia="Microsoft YaHei"/>
        </w:rPr>
        <w:t>The EvalAgent resource the participant says most shaped that explanation.</w:t>
      </w:r>
    </w:p>
    <w:p>
      <w:r>
        <w:rPr>
          <w:rFonts w:eastAsia="Microsoft YaHei"/>
          <w:b/>
        </w:rPr>
        <w:t>RQ mapping.</w:t>
      </w:r>
      <w:r>
        <w:rPr>
          <w:rFonts w:eastAsia="Microsoft YaHei"/>
        </w:rPr>
        <w:t xml:space="preserve"> ERQ2 for the consolidated explanation and the role of EvalAgent’s comparison resources. ERQ3 prediction data were already captured once in Stage 5.</w:t>
      </w:r>
    </w:p>
    <w:p>
      <w:pPr>
        <w:pStyle w:val="Heading2"/>
      </w:pPr>
      <w:r>
        <w:rPr>
          <w:rFonts w:eastAsia="Microsoft YaHei"/>
        </w:rPr>
        <w:t>8.8 Stage 7 - Inspect revised result and close (0:47-0:50)</w:t>
      </w:r>
    </w:p>
    <w:p>
      <w:r>
        <w:rPr>
          <w:rFonts w:eastAsia="Microsoft YaHei"/>
          <w:b/>
        </w:rPr>
        <w:t>Objective.</w:t>
      </w:r>
      <w:r>
        <w:rPr>
          <w:rFonts w:eastAsia="Microsoft YaHei"/>
        </w:rPr>
        <w:t xml:space="preserve"> Determine how the participant interprets the probe result and whether they keep, revise, or discard the current explanation.</w:t>
      </w:r>
    </w:p>
    <w:p>
      <w:r>
        <w:rPr>
          <w:rFonts w:eastAsia="Microsoft YaHei"/>
          <w:b/>
        </w:rPr>
        <w:t>Research questions.</w:t>
      </w:r>
    </w:p>
    <w:p>
      <w:pPr>
        <w:pStyle w:val="ListBullet"/>
        <w:numPr>
          <w:ilvl w:val="0"/>
          <w:numId w:val="91"/>
        </w:numPr>
      </w:pPr>
      <w:r>
        <w:rPr>
          <w:rFonts w:eastAsia="Microsoft YaHei"/>
          <w:b/>
        </w:rPr>
        <w:t>[ERQ3]</w:t>
      </w:r>
      <w:r>
        <w:rPr>
          <w:rFonts w:eastAsia="Microsoft YaHei"/>
        </w:rPr>
        <w:t xml:space="preserve"> Did the revised behavior change as predicted, which evidence is most diagnostic, and does the result support, partially support, challenge, or leave your explanation unresolved?</w:t>
      </w:r>
    </w:p>
    <w:p>
      <w:pPr>
        <w:pStyle w:val="ListBullet"/>
        <w:numPr>
          <w:ilvl w:val="0"/>
          <w:numId w:val="91"/>
        </w:numPr>
      </w:pPr>
      <w:r>
        <w:rPr>
          <w:rFonts w:eastAsia="Microsoft YaHei"/>
          <w:b/>
        </w:rPr>
        <w:t>[ERQ3]</w:t>
      </w:r>
      <w:r>
        <w:rPr>
          <w:rFonts w:eastAsia="Microsoft YaHei"/>
        </w:rPr>
        <w:t xml:space="preserve"> Based on that result, would you keep, further revise, or discard the configuration change; what remains unclear, and what would you test next?</w:t>
      </w:r>
    </w:p>
    <w:p>
      <w:r>
        <w:rPr>
          <w:rFonts w:eastAsia="Microsoft YaHei"/>
          <w:b/>
        </w:rPr>
        <w:t>Record.</w:t>
      </w:r>
    </w:p>
    <w:p>
      <w:pPr>
        <w:pStyle w:val="ListBullet"/>
        <w:numPr>
          <w:ilvl w:val="0"/>
          <w:numId w:val="91"/>
        </w:numPr>
      </w:pPr>
      <w:r>
        <w:rPr>
          <w:rFonts w:eastAsia="Microsoft YaHei"/>
        </w:rPr>
        <w:t>Revised-run outcome and participant classification: support, partial support, challenge, unresolved, or technical failure.</w:t>
      </w:r>
    </w:p>
    <w:p>
      <w:pPr>
        <w:pStyle w:val="ListBullet"/>
        <w:numPr>
          <w:ilvl w:val="0"/>
          <w:numId w:val="91"/>
        </w:numPr>
      </w:pPr>
      <w:r>
        <w:rPr>
          <w:rFonts w:eastAsia="Microsoft YaHei"/>
        </w:rPr>
        <w:t>Evidence cited, final configuration decision, and the remaining issue or next test.</w:t>
      </w:r>
    </w:p>
    <w:p>
      <w:r>
        <w:rPr>
          <w:rFonts w:eastAsia="Microsoft YaHei"/>
          <w:b/>
        </w:rPr>
        <w:t>RQ mapping.</w:t>
      </w:r>
      <w:r>
        <w:rPr>
          <w:rFonts w:eastAsia="Microsoft YaHei"/>
        </w:rPr>
        <w:t xml:space="preserve"> ERQ3, with the final mental-model statement also closing ERQ2.</w:t>
      </w:r>
    </w:p>
    <w:p>
      <w:pPr>
        <w:pStyle w:val="Heading1"/>
      </w:pPr>
      <w:r>
        <w:rPr>
          <w:rFonts w:eastAsia="Microsoft YaHei"/>
        </w:rPr>
        <w:t>9. Data collection specification</w:t>
      </w:r>
    </w:p>
    <w:p>
      <w:pPr>
        <w:pStyle w:val="Heading2"/>
      </w:pPr>
      <w:r>
        <w:rPr>
          <w:rFonts w:eastAsia="Microsoft YaHei"/>
        </w:rPr>
        <w:t>9.1 Data dictionary</w:t>
      </w:r>
    </w:p>
    <w:tbl>
      <w:tblPr>
        <w:tblStyle w:val="TableGrid"/>
        <w:tblW w:type="dxa" w:w="9360"/>
        <w:jc w:val="left"/>
        <w:tblLayout w:type="fixed"/>
        <w:tblLook w:firstColumn="1" w:firstRow="1" w:lastColumn="0" w:lastRow="0" w:noHBand="0" w:noVBand="1" w:val="04A0"/>
        <w:tblInd w:w="120" w:type="dxa"/>
      </w:tblPr>
      <w:tblGrid>
        <w:gridCol w:w="979"/>
        <w:gridCol w:w="950"/>
        <w:gridCol w:w="3914"/>
        <w:gridCol w:w="950"/>
        <w:gridCol w:w="2567"/>
      </w:tblGrid>
      <w:tr>
        <w:trPr>
          <w:tblHeader w:val="true"/>
        </w:trPr>
        <w:tc>
          <w:tcPr>
            <w:tcW w:type="dxa" w:w="979"/>
            <w:shd w:fill="E8EEF5"/>
            <w:tcMar>
              <w:top w:w="80" w:type="dxa"/>
              <w:start w:w="120" w:type="dxa"/>
              <w:bottom w:w="80" w:type="dxa"/>
              <w:end w:w="120" w:type="dxa"/>
            </w:tcMar>
            <w:vAlign w:val="center"/>
          </w:tcPr>
          <w:p>
            <w:pPr>
              <w:spacing w:before="0" w:after="0" w:line="269" w:lineRule="auto"/>
            </w:pPr>
            <w:r>
              <w:rPr>
                <w:rFonts w:eastAsia="Microsoft YaHei"/>
                <w:b/>
                <w:color w:val="0B2545"/>
              </w:rPr>
            </w:r>
            <w:r>
              <w:rPr>
                <w:rFonts w:eastAsia="Microsoft YaHei"/>
                <w:b/>
                <w:color w:val="0B2545"/>
                <w:sz w:val="17"/>
              </w:rPr>
              <w:t>Data item</w:t>
            </w:r>
          </w:p>
        </w:tc>
        <w:tc>
          <w:tcPr>
            <w:tcW w:type="dxa" w:w="950"/>
            <w:shd w:fill="E8EEF5"/>
            <w:tcMar>
              <w:top w:w="80" w:type="dxa"/>
              <w:start w:w="120" w:type="dxa"/>
              <w:bottom w:w="80" w:type="dxa"/>
              <w:end w:w="120" w:type="dxa"/>
            </w:tcMar>
            <w:vAlign w:val="center"/>
          </w:tcPr>
          <w:p>
            <w:pPr>
              <w:spacing w:before="0" w:after="0" w:line="269" w:lineRule="auto"/>
            </w:pPr>
            <w:r>
              <w:rPr>
                <w:rFonts w:eastAsia="Microsoft YaHei"/>
                <w:b/>
                <w:color w:val="0B2545"/>
              </w:rPr>
            </w:r>
            <w:r>
              <w:rPr>
                <w:rFonts w:eastAsia="Microsoft YaHei"/>
                <w:b/>
                <w:color w:val="0B2545"/>
                <w:sz w:val="17"/>
              </w:rPr>
              <w:t>Source and timing</w:t>
            </w:r>
          </w:p>
        </w:tc>
        <w:tc>
          <w:tcPr>
            <w:tcW w:type="dxa" w:w="3914"/>
            <w:shd w:fill="E8EEF5"/>
            <w:tcMar>
              <w:top w:w="80" w:type="dxa"/>
              <w:start w:w="120" w:type="dxa"/>
              <w:bottom w:w="80" w:type="dxa"/>
              <w:end w:w="120" w:type="dxa"/>
            </w:tcMar>
            <w:vAlign w:val="center"/>
          </w:tcPr>
          <w:p>
            <w:pPr>
              <w:spacing w:before="0" w:after="0" w:line="269" w:lineRule="auto"/>
            </w:pPr>
            <w:r>
              <w:rPr>
                <w:rFonts w:eastAsia="Microsoft YaHei"/>
                <w:b/>
                <w:color w:val="0B2545"/>
              </w:rPr>
            </w:r>
            <w:r>
              <w:rPr>
                <w:rFonts w:eastAsia="Microsoft YaHei"/>
                <w:b/>
                <w:color w:val="0B2545"/>
                <w:sz w:val="17"/>
              </w:rPr>
              <w:t>What is recorded</w:t>
            </w:r>
          </w:p>
        </w:tc>
        <w:tc>
          <w:tcPr>
            <w:tcW w:type="dxa" w:w="950"/>
            <w:shd w:fill="E8EEF5"/>
            <w:tcMar>
              <w:top w:w="80" w:type="dxa"/>
              <w:start w:w="120" w:type="dxa"/>
              <w:bottom w:w="80" w:type="dxa"/>
              <w:end w:w="120" w:type="dxa"/>
            </w:tcMar>
            <w:vAlign w:val="center"/>
          </w:tcPr>
          <w:p>
            <w:pPr>
              <w:spacing w:before="0" w:after="0" w:line="269" w:lineRule="auto"/>
            </w:pPr>
            <w:r>
              <w:rPr>
                <w:rFonts w:eastAsia="Microsoft YaHei"/>
                <w:b/>
                <w:color w:val="0B2545"/>
              </w:rPr>
            </w:r>
            <w:r>
              <w:rPr>
                <w:rFonts w:eastAsia="Microsoft YaHei"/>
                <w:b/>
                <w:color w:val="0B2545"/>
                <w:sz w:val="17"/>
              </w:rPr>
              <w:t>ERQ</w:t>
            </w:r>
          </w:p>
        </w:tc>
        <w:tc>
          <w:tcPr>
            <w:tcW w:type="dxa" w:w="2567"/>
            <w:shd w:fill="E8EEF5"/>
            <w:tcMar>
              <w:top w:w="80" w:type="dxa"/>
              <w:start w:w="120" w:type="dxa"/>
              <w:bottom w:w="80" w:type="dxa"/>
              <w:end w:w="120" w:type="dxa"/>
            </w:tcMar>
            <w:vAlign w:val="center"/>
          </w:tcPr>
          <w:p>
            <w:pPr>
              <w:spacing w:before="0" w:after="0" w:line="269" w:lineRule="auto"/>
            </w:pPr>
            <w:r>
              <w:rPr>
                <w:rFonts w:eastAsia="Microsoft YaHei"/>
                <w:b/>
                <w:color w:val="0B2545"/>
              </w:rPr>
            </w:r>
            <w:r>
              <w:rPr>
                <w:rFonts w:eastAsia="Microsoft YaHei"/>
                <w:b/>
                <w:color w:val="0B2545"/>
                <w:sz w:val="17"/>
              </w:rPr>
              <w:t>Planned use</w:t>
            </w:r>
          </w:p>
        </w:tc>
      </w:tr>
      <w:tr>
        <w:tc>
          <w:tcPr>
            <w:tcW w:type="dxa" w:w="979"/>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Participant context</w:t>
            </w:r>
          </w:p>
        </w:tc>
        <w:tc>
          <w:tcPr>
            <w:tcW w:type="dxa" w:w="950"/>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Intake</w:t>
            </w:r>
          </w:p>
        </w:tc>
        <w:tc>
          <w:tcPr>
            <w:tcW w:type="dxa" w:w="3914"/>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Role and level of relevant GUI-agent experience.</w:t>
            </w:r>
          </w:p>
        </w:tc>
        <w:tc>
          <w:tcPr>
            <w:tcW w:type="dxa" w:w="950"/>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Context</w:t>
            </w:r>
          </w:p>
        </w:tc>
        <w:tc>
          <w:tcPr>
            <w:tcW w:type="dxa" w:w="2567"/>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Describe the sample.</w:t>
            </w:r>
          </w:p>
        </w:tc>
      </w:tr>
      <w:tr>
        <w:tc>
          <w:tcPr>
            <w:tcW w:type="dxa" w:w="979"/>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Task context</w:t>
            </w:r>
          </w:p>
        </w:tc>
        <w:tc>
          <w:tcPr>
            <w:tcW w:type="dxa" w:w="950"/>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Stage 1</w:t>
            </w:r>
          </w:p>
        </w:tc>
        <w:tc>
          <w:tcPr>
            <w:tcW w:type="dxa" w:w="3914"/>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Selected site/family, task text, and stopping condition.</w:t>
            </w:r>
          </w:p>
        </w:tc>
        <w:tc>
          <w:tcPr>
            <w:tcW w:type="dxa" w:w="950"/>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ERQ1 context</w:t>
            </w:r>
          </w:p>
        </w:tc>
        <w:tc>
          <w:tcPr>
            <w:tcW w:type="dxa" w:w="2567"/>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Establish what the configurations are for and verify domain coverage.</w:t>
            </w:r>
          </w:p>
        </w:tc>
      </w:tr>
      <w:tr>
        <w:tc>
          <w:tcPr>
            <w:tcW w:type="dxa" w:w="979"/>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A/B contrast</w:t>
            </w:r>
          </w:p>
        </w:tc>
        <w:tc>
          <w:tcPr>
            <w:tcW w:type="dxa" w:w="950"/>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Stage 2</w:t>
            </w:r>
          </w:p>
        </w:tc>
        <w:tc>
          <w:tcPr>
            <w:tcW w:type="dxa" w:w="3914"/>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Exact A/B configuration snapshots and one-sentence contrast.</w:t>
            </w:r>
          </w:p>
        </w:tc>
        <w:tc>
          <w:tcPr>
            <w:tcW w:type="dxa" w:w="950"/>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ERQ1</w:t>
            </w:r>
          </w:p>
        </w:tc>
        <w:tc>
          <w:tcPr>
            <w:tcW w:type="dxa" w:w="2567"/>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Describe how participants frame configuration differences.</w:t>
            </w:r>
          </w:p>
        </w:tc>
      </w:tr>
      <w:tr>
        <w:tc>
          <w:tcPr>
            <w:tcW w:type="dxa" w:w="979"/>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Initial expectation</w:t>
            </w:r>
          </w:p>
        </w:tc>
        <w:tc>
          <w:tcPr>
            <w:tcW w:type="dxa" w:w="950"/>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Stage 3</w:t>
            </w:r>
          </w:p>
        </w:tc>
        <w:tc>
          <w:tcPr>
            <w:tcW w:type="dxa" w:w="3914"/>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Predicted behavioral difference and initial explanation.</w:t>
            </w:r>
          </w:p>
        </w:tc>
        <w:tc>
          <w:tcPr>
            <w:tcW w:type="dxa" w:w="950"/>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ERQ1; ERQ2 baseline</w:t>
            </w:r>
          </w:p>
        </w:tc>
        <w:tc>
          <w:tcPr>
            <w:tcW w:type="dxa" w:w="2567"/>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Provide the baseline for later interpretation.</w:t>
            </w:r>
          </w:p>
        </w:tc>
      </w:tr>
      <w:tr>
        <w:tc>
          <w:tcPr>
            <w:tcW w:type="dxa" w:w="979"/>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Key sensemaking moments</w:t>
            </w:r>
          </w:p>
        </w:tc>
        <w:tc>
          <w:tcPr>
            <w:tcW w:type="dxa" w:w="950"/>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Stage 4</w:t>
            </w:r>
          </w:p>
        </w:tc>
        <w:tc>
          <w:tcPr>
            <w:tcW w:type="dxa" w:w="3914"/>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Participant-selected trajectory moment, interpretation, and explanation change.</w:t>
            </w:r>
          </w:p>
        </w:tc>
        <w:tc>
          <w:tcPr>
            <w:tcW w:type="dxa" w:w="950"/>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ERQ2</w:t>
            </w:r>
          </w:p>
        </w:tc>
        <w:tc>
          <w:tcPr>
            <w:tcW w:type="dxa" w:w="2567"/>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Trace how comparison changes understanding.</w:t>
            </w:r>
          </w:p>
        </w:tc>
      </w:tr>
      <w:tr>
        <w:tc>
          <w:tcPr>
            <w:tcW w:type="dxa" w:w="979"/>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Configuration probe</w:t>
            </w:r>
          </w:p>
        </w:tc>
        <w:tc>
          <w:tcPr>
            <w:tcW w:type="dxa" w:w="950"/>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Stage 5</w:t>
            </w:r>
          </w:p>
        </w:tc>
        <w:tc>
          <w:tcPr>
            <w:tcW w:type="dxa" w:w="3914"/>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Motivating moment, exact revision diff, predicted change, and support/challenge observation.</w:t>
            </w:r>
          </w:p>
        </w:tc>
        <w:tc>
          <w:tcPr>
            <w:tcW w:type="dxa" w:w="950"/>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ERQ3</w:t>
            </w:r>
          </w:p>
        </w:tc>
        <w:tc>
          <w:tcPr>
            <w:tcW w:type="dxa" w:w="2567"/>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Connect interpretation to a testable revision.</w:t>
            </w:r>
          </w:p>
        </w:tc>
      </w:tr>
      <w:tr>
        <w:tc>
          <w:tcPr>
            <w:tcW w:type="dxa" w:w="979"/>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Probe result</w:t>
            </w:r>
          </w:p>
        </w:tc>
        <w:tc>
          <w:tcPr>
            <w:tcW w:type="dxa" w:w="950"/>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Stage 7</w:t>
            </w:r>
          </w:p>
        </w:tc>
        <w:tc>
          <w:tcPr>
            <w:tcW w:type="dxa" w:w="3914"/>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Outcome classification, cited evidence, final decision, and remaining issue/next test.</w:t>
            </w:r>
          </w:p>
        </w:tc>
        <w:tc>
          <w:tcPr>
            <w:tcW w:type="dxa" w:w="950"/>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ERQ3</w:t>
            </w:r>
          </w:p>
        </w:tc>
        <w:tc>
          <w:tcPr>
            <w:tcW w:type="dxa" w:w="2567"/>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Characterize supported, challenged, and unresolved probes.</w:t>
            </w:r>
          </w:p>
        </w:tc>
      </w:tr>
      <w:tr>
        <w:tc>
          <w:tcPr>
            <w:tcW w:type="dxa" w:w="979"/>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Execution validity</w:t>
            </w:r>
          </w:p>
        </w:tc>
        <w:tc>
          <w:tcPr>
            <w:tcW w:type="dxa" w:w="950"/>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System logs</w:t>
            </w:r>
          </w:p>
        </w:tc>
        <w:tc>
          <w:tcPr>
            <w:tcW w:type="dxa" w:w="3914"/>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Run ID, fixed settings, completion/timeout, and technical failure status.</w:t>
            </w:r>
          </w:p>
        </w:tc>
        <w:tc>
          <w:tcPr>
            <w:tcW w:type="dxa" w:w="950"/>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Validity only</w:t>
            </w:r>
          </w:p>
        </w:tc>
        <w:tc>
          <w:tcPr>
            <w:tcW w:type="dxa" w:w="2567"/>
            <w:tcMar>
              <w:top w:w="80" w:type="dxa"/>
              <w:start w:w="120" w:type="dxa"/>
              <w:bottom w:w="80" w:type="dxa"/>
              <w:end w:w="120" w:type="dxa"/>
            </w:tcMar>
            <w:vAlign w:val="center"/>
          </w:tcPr>
          <w:p>
            <w:pPr>
              <w:spacing w:before="0" w:after="0" w:line="269" w:lineRule="auto"/>
            </w:pPr>
            <w:r>
              <w:rPr>
                <w:rFonts w:eastAsia="Microsoft YaHei"/>
              </w:rPr>
            </w:r>
            <w:r>
              <w:rPr>
                <w:rFonts w:eastAsia="Microsoft YaHei"/>
                <w:sz w:val="17"/>
              </w:rPr>
              <w:t>Confirm that comparisons used the intended controls.</w:t>
            </w:r>
          </w:p>
        </w:tc>
      </w:tr>
    </w:tbl>
    <w:p>
      <w:pPr>
        <w:spacing w:after="40"/>
      </w:pPr>
    </w:p>
    <w:p>
      <w:pPr>
        <w:pStyle w:val="Heading2"/>
      </w:pPr>
      <w:r>
        <w:rPr>
          <w:rFonts w:eastAsia="Microsoft YaHei"/>
        </w:rPr>
        <w:t>9.2 Required recording channels</w:t>
      </w:r>
    </w:p>
    <w:p>
      <w:r>
        <w:rPr>
          <w:rFonts w:eastAsia="Microsoft YaHei"/>
          <w:b/>
        </w:rPr>
        <w:t>Primary dataset to code</w:t>
      </w:r>
    </w:p>
    <w:p>
      <w:pPr>
        <w:pStyle w:val="ListBullet"/>
        <w:numPr>
          <w:ilvl w:val="0"/>
          <w:numId w:val="91"/>
        </w:numPr>
      </w:pPr>
      <w:r>
        <w:rPr>
          <w:rFonts w:eastAsia="Microsoft YaHei"/>
        </w:rPr>
        <w:t>Audio and screen recording.</w:t>
      </w:r>
    </w:p>
    <w:p>
      <w:pPr>
        <w:pStyle w:val="ListBullet"/>
        <w:numPr>
          <w:ilvl w:val="0"/>
          <w:numId w:val="91"/>
        </w:numPr>
      </w:pPr>
      <w:r>
        <w:rPr>
          <w:rFonts w:eastAsia="Microsoft YaHei"/>
        </w:rPr>
        <w:t>Transcript segments containing answers to the tagged research questions and discussion of participant-selected key trajectory moments.</w:t>
      </w:r>
    </w:p>
    <w:p>
      <w:pPr>
        <w:pStyle w:val="ListBullet"/>
        <w:numPr>
          <w:ilvl w:val="0"/>
          <w:numId w:val="91"/>
        </w:numPr>
      </w:pPr>
      <w:r>
        <w:rPr>
          <w:rFonts w:eastAsia="Microsoft YaHei"/>
        </w:rPr>
        <w:t>Exact A/B/revised configurations, key trajectory moments, and the lean capture sheet in Appendix B.</w:t>
      </w:r>
    </w:p>
    <w:p>
      <w:r>
        <w:rPr>
          <w:rFonts w:eastAsia="Microsoft YaHei"/>
          <w:b/>
        </w:rPr>
        <w:t>Operational archive, not coded by default</w:t>
      </w:r>
    </w:p>
    <w:p>
      <w:pPr>
        <w:pStyle w:val="ListBullet"/>
        <w:numPr>
          <w:ilvl w:val="0"/>
          <w:numId w:val="91"/>
        </w:numPr>
      </w:pPr>
      <w:r>
        <w:rPr>
          <w:rFonts w:eastAsia="Microsoft YaHei"/>
        </w:rPr>
        <w:t>Raw trajectories and system event logs.</w:t>
      </w:r>
    </w:p>
    <w:p>
      <w:pPr>
        <w:pStyle w:val="ListBullet"/>
        <w:numPr>
          <w:ilvl w:val="0"/>
          <w:numId w:val="91"/>
        </w:numPr>
      </w:pPr>
      <w:r>
        <w:rPr>
          <w:rFonts w:eastAsia="Microsoft YaHei"/>
        </w:rPr>
        <w:t>Run IDs, fixed execution settings, completion/timeout status, and technical errors.</w:t>
      </w:r>
    </w:p>
    <w:p>
      <w:r>
        <w:rPr>
          <w:rFonts w:eastAsia="Microsoft YaHei"/>
        </w:rPr>
        <w:t>Operational data are consulted only to verify a comparison or diagnose a failure. Click-by-click interaction traces, dwell time, and complete criteria/Judge edit histories are not part of the planned analysis.</w:t>
      </w:r>
    </w:p>
    <w:p>
      <w:pPr>
        <w:pStyle w:val="Heading2"/>
      </w:pPr>
      <w:r>
        <w:rPr>
          <w:rFonts w:eastAsia="Microsoft YaHei"/>
        </w:rPr>
        <w:t>9.3 Data minimization</w:t>
      </w:r>
    </w:p>
    <w:p>
      <w:r>
        <w:rPr>
          <w:rFonts w:eastAsia="Microsoft YaHei"/>
        </w:rPr>
        <w:t>Use participant IDs rather than names in study data. Do not collect real account credentials, payment information, messages, or external transactions. Redact accidental personal information from recordings and transcripts. Store consent records separately from behavioral data.</w:t>
      </w:r>
    </w:p>
    <w:p>
      <w:pPr>
        <w:pStyle w:val="Heading1"/>
      </w:pPr>
      <w:r>
        <w:rPr>
          <w:rFonts w:eastAsia="Microsoft YaHei"/>
        </w:rPr>
        <w:t>10. Analysis plan</w:t>
      </w:r>
    </w:p>
    <w:p>
      <w:pPr>
        <w:pStyle w:val="Heading2"/>
      </w:pPr>
      <w:r>
        <w:rPr>
          <w:rFonts w:eastAsia="Microsoft YaHei"/>
        </w:rPr>
        <w:t>10.1 Unit of analysis</w:t>
      </w:r>
    </w:p>
    <w:p>
      <w:r>
        <w:rPr>
          <w:rFonts w:eastAsia="Microsoft YaHei"/>
        </w:rPr>
        <w:t xml:space="preserve">The primary unit is the </w:t>
      </w:r>
      <w:r>
        <w:rPr>
          <w:rFonts w:eastAsia="Microsoft YaHei"/>
          <w:b/>
        </w:rPr>
        <w:t>sensemaking episode</w:t>
      </w:r>
      <w:r>
        <w:rPr>
          <w:rFonts w:eastAsia="Microsoft YaHei"/>
        </w:rPr>
        <w:t>:</w:t>
      </w:r>
    </w:p>
    <w:p>
      <w:pPr>
        <w:pStyle w:val="Quote"/>
      </w:pPr>
      <w:r>
        <w:rPr>
          <w:rFonts w:eastAsia="Microsoft YaHei"/>
        </w:rPr>
        <w:t>trigger → inspected observation → interpretation or attribution → mental-model update → configuration action, if any → test result</w:t>
      </w:r>
    </w:p>
    <w:p>
      <w:r>
        <w:rPr>
          <w:rFonts w:eastAsia="Microsoft YaHei"/>
        </w:rPr>
        <w:t>Episodes may end before a configuration action when the participant remains uncertain. These incomplete episodes are analytically important.</w:t>
      </w:r>
    </w:p>
    <w:p>
      <w:pPr>
        <w:pStyle w:val="Heading2"/>
      </w:pPr>
      <w:r>
        <w:rPr>
          <w:rFonts w:eastAsia="Microsoft YaHei"/>
        </w:rPr>
        <w:t>10.2 Coding framework</w:t>
      </w:r>
    </w:p>
    <w:p>
      <w:r>
        <w:rPr>
          <w:rFonts w:eastAsia="Microsoft YaHei"/>
        </w:rPr>
        <w:t>Code each retained episode for only four fields:</w:t>
      </w:r>
    </w:p>
    <w:p>
      <w:pPr>
        <w:pStyle w:val="ListBullet"/>
        <w:numPr>
          <w:ilvl w:val="0"/>
          <w:numId w:val="91"/>
        </w:numPr>
      </w:pPr>
      <w:r>
        <w:rPr>
          <w:rFonts w:eastAsia="Microsoft YaHei"/>
          <w:b/>
        </w:rPr>
        <w:t>Key moment:</w:t>
      </w:r>
      <w:r>
        <w:rPr>
          <w:rFonts w:eastAsia="Microsoft YaHei"/>
        </w:rPr>
        <w:t xml:space="preserve"> the trajectory step or outcome selected by the participant.</w:t>
      </w:r>
    </w:p>
    <w:p>
      <w:pPr>
        <w:pStyle w:val="ListBullet"/>
        <w:numPr>
          <w:ilvl w:val="0"/>
          <w:numId w:val="91"/>
        </w:numPr>
      </w:pPr>
      <w:r>
        <w:rPr>
          <w:rFonts w:eastAsia="Microsoft YaHei"/>
          <w:b/>
        </w:rPr>
        <w:t>Interpretation:</w:t>
      </w:r>
      <w:r>
        <w:rPr>
          <w:rFonts w:eastAsia="Microsoft YaHei"/>
        </w:rPr>
        <w:t xml:space="preserve"> what the participant believes the moment means.</w:t>
      </w:r>
    </w:p>
    <w:p>
      <w:pPr>
        <w:pStyle w:val="ListBullet"/>
        <w:numPr>
          <w:ilvl w:val="0"/>
          <w:numId w:val="91"/>
        </w:numPr>
      </w:pPr>
      <w:r>
        <w:rPr>
          <w:rFonts w:eastAsia="Microsoft YaHei"/>
          <w:b/>
        </w:rPr>
        <w:t>Explanation change:</w:t>
      </w:r>
      <w:r>
        <w:rPr>
          <w:rFonts w:eastAsia="Microsoft YaHei"/>
        </w:rPr>
        <w:t xml:space="preserve"> confirmed, revised, or still unclear relative to the initial explanation.</w:t>
      </w:r>
    </w:p>
    <w:p>
      <w:pPr>
        <w:pStyle w:val="ListBullet"/>
        <w:numPr>
          <w:ilvl w:val="0"/>
          <w:numId w:val="91"/>
        </w:numPr>
      </w:pPr>
      <w:r>
        <w:rPr>
          <w:rFonts w:eastAsia="Microsoft YaHei"/>
          <w:b/>
        </w:rPr>
        <w:t>Downstream action:</w:t>
      </w:r>
      <w:r>
        <w:rPr>
          <w:rFonts w:eastAsia="Microsoft YaHei"/>
        </w:rPr>
        <w:t xml:space="preserve"> no revision, configuration probe, and-when available-probe result.</w:t>
      </w:r>
    </w:p>
    <w:p>
      <w:pPr>
        <w:pStyle w:val="Heading2"/>
      </w:pPr>
      <w:r>
        <w:rPr>
          <w:rFonts w:eastAsia="Microsoft YaHei"/>
        </w:rPr>
        <w:t>10.3 ERQ-specific analysis</w:t>
      </w:r>
    </w:p>
    <w:p>
      <w:r>
        <w:rPr>
          <w:rFonts w:eastAsia="Microsoft YaHei"/>
          <w:b/>
        </w:rPr>
        <w:t>ERQ1.</w:t>
      </w:r>
      <w:r>
        <w:rPr>
          <w:rFonts w:eastAsia="Microsoft YaHei"/>
        </w:rPr>
        <w:t xml:space="preserve"> Analyze how participants move from domain exploration to a configuration contrast. Produce a taxonomy of contrasts, shared constraints, expected effects, and task rationales. Report frequencies descriptively and illustrate common and unusual patterns with episodes.</w:t>
      </w:r>
    </w:p>
    <w:p>
      <w:r>
        <w:rPr>
          <w:rFonts w:eastAsia="Microsoft YaHei"/>
          <w:b/>
        </w:rPr>
        <w:t>ERQ2.</w:t>
      </w:r>
      <w:r>
        <w:rPr>
          <w:rFonts w:eastAsia="Microsoft YaHei"/>
        </w:rPr>
        <w:t xml:space="preserve"> Construct a short within-participant sequence linking the initial explanation, participant-selected key trajectory moments, and the post-comparison explanation. Summarize which EvalAgent resource most shaped the interpretation.</w:t>
      </w:r>
    </w:p>
    <w:p>
      <w:r>
        <w:rPr>
          <w:rFonts w:eastAsia="Microsoft YaHei"/>
          <w:b/>
        </w:rPr>
        <w:t>ERQ3.</w:t>
      </w:r>
      <w:r>
        <w:rPr>
          <w:rFonts w:eastAsia="Microsoft YaHei"/>
        </w:rPr>
        <w:t xml:space="preserve"> Link each revised configuration to its motivating observation, predicted effect, falsifier, and revised-run result. Analyze successful probes together with challenged, unresolved, and technically invalid probes. Identify domain-specific and system-specific boundaries without treating one run as causal proof.</w:t>
      </w:r>
    </w:p>
    <w:p>
      <w:pPr>
        <w:pStyle w:val="Heading2"/>
      </w:pPr>
      <w:r>
        <w:rPr>
          <w:rFonts w:eastAsia="Microsoft YaHei"/>
        </w:rPr>
        <w:t>10.4 Coding reliability</w:t>
      </w:r>
    </w:p>
    <w:p>
      <w:r>
        <w:rPr>
          <w:rFonts w:eastAsia="Microsoft YaHei"/>
        </w:rPr>
        <w:t>Two researchers develop the codebook using three sessions, revise definitions, then independently code all retained key-moment episodes across the 12 sessions. Report agreement for the final categorical codes and resolve disagreements through discussion. Preserve short memos for ambiguous and negative cases.</w:t>
      </w:r>
    </w:p>
    <w:p>
      <w:pPr>
        <w:pStyle w:val="Heading2"/>
      </w:pPr>
      <w:r>
        <w:rPr>
          <w:rFonts w:eastAsia="Microsoft YaHei"/>
        </w:rPr>
        <w:t>10.5 Quantitative summaries</w:t>
      </w:r>
    </w:p>
    <w:p>
      <w:r>
        <w:rPr>
          <w:rFonts w:eastAsia="Microsoft YaHei"/>
        </w:rPr>
        <w:t>Use descriptive counts and distributions only:</w:t>
      </w:r>
    </w:p>
    <w:p>
      <w:pPr>
        <w:pStyle w:val="ListBullet"/>
        <w:numPr>
          <w:ilvl w:val="0"/>
          <w:numId w:val="91"/>
        </w:numPr>
      </w:pPr>
      <w:r>
        <w:rPr>
          <w:rFonts w:eastAsia="Microsoft YaHei"/>
        </w:rPr>
        <w:t>sites and domain families covered;</w:t>
      </w:r>
    </w:p>
    <w:p>
      <w:pPr>
        <w:pStyle w:val="ListBullet"/>
        <w:numPr>
          <w:ilvl w:val="0"/>
          <w:numId w:val="91"/>
        </w:numPr>
      </w:pPr>
      <w:r>
        <w:rPr>
          <w:rFonts w:eastAsia="Microsoft YaHei"/>
        </w:rPr>
        <w:t>contrast types;</w:t>
      </w:r>
    </w:p>
    <w:p>
      <w:pPr>
        <w:pStyle w:val="ListBullet"/>
        <w:numPr>
          <w:ilvl w:val="0"/>
          <w:numId w:val="91"/>
        </w:numPr>
      </w:pPr>
      <w:r>
        <w:rPr>
          <w:rFonts w:eastAsia="Microsoft YaHei"/>
        </w:rPr>
        <w:t>resource-use patterns;</w:t>
      </w:r>
    </w:p>
    <w:p>
      <w:pPr>
        <w:pStyle w:val="ListBullet"/>
        <w:numPr>
          <w:ilvl w:val="0"/>
          <w:numId w:val="91"/>
        </w:numPr>
      </w:pPr>
      <w:r>
        <w:rPr>
          <w:rFonts w:eastAsia="Microsoft YaHei"/>
        </w:rPr>
        <w:t>probe outcomes;</w:t>
      </w:r>
    </w:p>
    <w:p>
      <w:pPr>
        <w:pStyle w:val="ListBullet"/>
        <w:numPr>
          <w:ilvl w:val="0"/>
          <w:numId w:val="91"/>
        </w:numPr>
      </w:pPr>
      <w:r>
        <w:rPr>
          <w:rFonts w:eastAsia="Microsoft YaHei"/>
        </w:rPr>
        <w:t>technical failures that invalidate a comparison.</w:t>
      </w:r>
    </w:p>
    <w:p>
      <w:r>
        <w:rPr>
          <w:rFonts w:eastAsia="Microsoft YaHei"/>
        </w:rPr>
        <w:t>Do not run underpowered domain-by-domain significance tests. The design aims for breadth and analytic transferability, not statistical comparison between sites.</w:t>
      </w:r>
    </w:p>
    <w:p>
      <w:pPr>
        <w:pStyle w:val="Heading1"/>
      </w:pPr>
      <w:r>
        <w:rPr>
          <w:rFonts w:eastAsia="Microsoft YaHei"/>
        </w:rPr>
        <w:t>11. Runtime, failure, and follow-up rules</w:t>
      </w:r>
    </w:p>
    <w:p>
      <w:pPr>
        <w:pStyle w:val="Heading2"/>
      </w:pPr>
      <w:r>
        <w:rPr>
          <w:rFonts w:eastAsia="Microsoft YaHei"/>
        </w:rPr>
        <w:t>11.1 Common execution budget</w:t>
      </w:r>
    </w:p>
    <w:p>
      <w:r>
        <w:rPr>
          <w:rFonts w:eastAsia="Microsoft YaHei"/>
        </w:rPr>
        <w:t>Set a fixed maximum-step and wall-clock budget before data collection and apply it to all initial and revised runs. Record both limits in the study report. A timeout is an outcome, not a reason to silently extend one agent.</w:t>
      </w:r>
    </w:p>
    <w:p>
      <w:pPr>
        <w:pStyle w:val="Heading2"/>
      </w:pPr>
      <w:r>
        <w:rPr>
          <w:rFonts w:eastAsia="Microsoft YaHei"/>
        </w:rPr>
        <w:t>11.2 Failure classification</w:t>
      </w:r>
    </w:p>
    <w:p>
      <w:pPr>
        <w:pStyle w:val="ListBullet"/>
        <w:numPr>
          <w:ilvl w:val="0"/>
          <w:numId w:val="91"/>
        </w:numPr>
      </w:pPr>
      <w:r>
        <w:rPr>
          <w:rFonts w:eastAsia="Microsoft YaHei"/>
          <w:b/>
        </w:rPr>
        <w:t>Behavioral failure:</w:t>
      </w:r>
      <w:r>
        <w:rPr>
          <w:rFonts w:eastAsia="Microsoft YaHei"/>
        </w:rPr>
        <w:t xml:space="preserve"> the agent makes poor decisions, gets stuck, stops incorrectly, or fails the task while the infrastructure works. Keep and analyze the run.</w:t>
      </w:r>
    </w:p>
    <w:p>
      <w:pPr>
        <w:pStyle w:val="ListBullet"/>
        <w:numPr>
          <w:ilvl w:val="0"/>
          <w:numId w:val="91"/>
        </w:numPr>
      </w:pPr>
      <w:r>
        <w:rPr>
          <w:rFonts w:eastAsia="Microsoft YaHei"/>
          <w:b/>
        </w:rPr>
        <w:t>Technical failure:</w:t>
      </w:r>
      <w:r>
        <w:rPr>
          <w:rFonts w:eastAsia="Microsoft YaHei"/>
        </w:rPr>
        <w:t xml:space="preserve"> the replica, logging, browser, or execution infrastructure prevents interpretable behavior. Mark separately.</w:t>
      </w:r>
    </w:p>
    <w:p>
      <w:pPr>
        <w:pStyle w:val="ListBullet"/>
        <w:numPr>
          <w:ilvl w:val="0"/>
          <w:numId w:val="91"/>
        </w:numPr>
      </w:pPr>
      <w:r>
        <w:rPr>
          <w:rFonts w:eastAsia="Microsoft YaHei"/>
          <w:b/>
        </w:rPr>
        <w:t>Mixed/uncertain:</w:t>
      </w:r>
      <w:r>
        <w:rPr>
          <w:rFonts w:eastAsia="Microsoft YaHei"/>
        </w:rPr>
        <w:t xml:space="preserve"> the source cannot be determined during the session. Preserve the uncertainty rather than forcing a label.</w:t>
      </w:r>
    </w:p>
    <w:p>
      <w:pPr>
        <w:pStyle w:val="Heading2"/>
      </w:pPr>
      <w:r>
        <w:rPr>
          <w:rFonts w:eastAsia="Microsoft YaHei"/>
        </w:rPr>
        <w:t>11.3 Rerun policy</w:t>
      </w:r>
    </w:p>
    <w:p>
      <w:r>
        <w:rPr>
          <w:rFonts w:eastAsia="Microsoft YaHei"/>
        </w:rPr>
        <w:t>Permit one immediate rerun only for a clearly documented technical failure that occurred before an interpretable trajectory was produced. Do not rerun merely because an agent performed poorly or contradicted the participant’s expectation.</w:t>
      </w:r>
    </w:p>
    <w:p>
      <w:pPr>
        <w:pStyle w:val="Heading2"/>
      </w:pPr>
      <w:r>
        <w:rPr>
          <w:rFonts w:eastAsia="Microsoft YaHei"/>
        </w:rPr>
        <w:t>11.4 Time overrun</w:t>
      </w:r>
    </w:p>
    <w:p>
      <w:r>
        <w:rPr>
          <w:rFonts w:eastAsia="Microsoft YaHei"/>
        </w:rPr>
        <w:t>The planned session is 50 minutes. It may extend to 55 minutes only to let an already-started revised run finish or to capture the participant’s immediate interpretation.</w:t>
      </w:r>
    </w:p>
    <w:p>
      <w:r>
        <w:rPr>
          <w:rFonts w:eastAsia="Microsoft YaHei"/>
        </w:rPr>
        <w:t>If the revised run remains incomplete at 55 minutes:</w:t>
      </w:r>
    </w:p>
    <w:p>
      <w:pPr>
        <w:pStyle w:val="ListNumber"/>
        <w:numPr>
          <w:ilvl w:val="0"/>
          <w:numId w:val="92"/>
        </w:numPr>
      </w:pPr>
      <w:r>
        <w:rPr>
          <w:rFonts w:eastAsia="Microsoft YaHei"/>
        </w:rPr>
        <w:t>End the live session and preserve the participant’s pre-result prediction.</w:t>
      </w:r>
    </w:p>
    <w:p>
      <w:pPr>
        <w:pStyle w:val="ListNumber"/>
        <w:numPr>
          <w:ilvl w:val="0"/>
          <w:numId w:val="92"/>
        </w:numPr>
      </w:pPr>
      <w:r>
        <w:rPr>
          <w:rFonts w:eastAsia="Microsoft YaHei"/>
        </w:rPr>
        <w:t>Complete the run under the same settings.</w:t>
      </w:r>
    </w:p>
    <w:p>
      <w:pPr>
        <w:pStyle w:val="ListNumber"/>
        <w:numPr>
          <w:ilvl w:val="0"/>
          <w:numId w:val="92"/>
        </w:numPr>
      </w:pPr>
      <w:r>
        <w:rPr>
          <w:rFonts w:eastAsia="Microsoft YaHei"/>
        </w:rPr>
        <w:t>Within 48 hours, send a standardized five-minute follow-up containing only the result and questions in Appendix C.</w:t>
      </w:r>
    </w:p>
    <w:p>
      <w:pPr>
        <w:pStyle w:val="ListNumber"/>
        <w:numPr>
          <w:ilvl w:val="0"/>
          <w:numId w:val="92"/>
        </w:numPr>
      </w:pPr>
      <w:r>
        <w:rPr>
          <w:rFonts w:eastAsia="Microsoft YaHei"/>
        </w:rPr>
        <w:t>Mark the interpretation as asynchronous in analysis.</w:t>
      </w:r>
    </w:p>
    <w:p>
      <w:pPr>
        <w:pStyle w:val="Heading1"/>
      </w:pPr>
      <w:r>
        <w:rPr>
          <w:rFonts w:eastAsia="Microsoft YaHei"/>
        </w:rPr>
        <w:t>12. Negative cases and stopping rules</w:t>
      </w:r>
    </w:p>
    <w:p>
      <w:r>
        <w:rPr>
          <w:rFonts w:eastAsia="Microsoft YaHei"/>
        </w:rPr>
        <w:t>Actively retain and report:</w:t>
      </w:r>
    </w:p>
    <w:p>
      <w:pPr>
        <w:pStyle w:val="ListBullet"/>
        <w:numPr>
          <w:ilvl w:val="0"/>
          <w:numId w:val="91"/>
        </w:numPr>
      </w:pPr>
      <w:r>
        <w:rPr>
          <w:rFonts w:eastAsia="Microsoft YaHei"/>
        </w:rPr>
        <w:t>no meaningful difference between A and B;</w:t>
      </w:r>
    </w:p>
    <w:p>
      <w:pPr>
        <w:pStyle w:val="ListBullet"/>
        <w:numPr>
          <w:ilvl w:val="0"/>
          <w:numId w:val="91"/>
        </w:numPr>
      </w:pPr>
      <w:r>
        <w:rPr>
          <w:rFonts w:eastAsia="Microsoft YaHei"/>
        </w:rPr>
        <w:t>a result opposite to the participant’s prediction;</w:t>
      </w:r>
    </w:p>
    <w:p>
      <w:pPr>
        <w:pStyle w:val="ListBullet"/>
        <w:numPr>
          <w:ilvl w:val="0"/>
          <w:numId w:val="91"/>
        </w:numPr>
      </w:pPr>
      <w:r>
        <w:rPr>
          <w:rFonts w:eastAsia="Microsoft YaHei"/>
        </w:rPr>
        <w:t>an explanation that becomes less certain after comparison;</w:t>
      </w:r>
    </w:p>
    <w:p>
      <w:pPr>
        <w:pStyle w:val="ListBullet"/>
        <w:numPr>
          <w:ilvl w:val="0"/>
          <w:numId w:val="91"/>
        </w:numPr>
      </w:pPr>
      <w:r>
        <w:rPr>
          <w:rFonts w:eastAsia="Microsoft YaHei"/>
        </w:rPr>
        <w:t>a revision that changes nothing;</w:t>
      </w:r>
    </w:p>
    <w:p>
      <w:pPr>
        <w:pStyle w:val="ListBullet"/>
        <w:numPr>
          <w:ilvl w:val="0"/>
          <w:numId w:val="91"/>
        </w:numPr>
      </w:pPr>
      <w:r>
        <w:rPr>
          <w:rFonts w:eastAsia="Microsoft YaHei"/>
        </w:rPr>
        <w:t>a revision that worsens behavior;</w:t>
      </w:r>
    </w:p>
    <w:p>
      <w:pPr>
        <w:pStyle w:val="ListBullet"/>
        <w:numPr>
          <w:ilvl w:val="0"/>
          <w:numId w:val="91"/>
        </w:numPr>
      </w:pPr>
      <w:r>
        <w:rPr>
          <w:rFonts w:eastAsia="Microsoft YaHei"/>
        </w:rPr>
        <w:t>misleading or unused Judge/criteria output;</w:t>
      </w:r>
    </w:p>
    <w:p>
      <w:pPr>
        <w:pStyle w:val="ListBullet"/>
        <w:numPr>
          <w:ilvl w:val="0"/>
          <w:numId w:val="91"/>
        </w:numPr>
      </w:pPr>
      <w:r>
        <w:rPr>
          <w:rFonts w:eastAsia="Microsoft YaHei"/>
        </w:rPr>
        <w:t>a domain where alignment does not help;</w:t>
      </w:r>
    </w:p>
    <w:p>
      <w:pPr>
        <w:pStyle w:val="ListBullet"/>
        <w:numPr>
          <w:ilvl w:val="0"/>
          <w:numId w:val="91"/>
        </w:numPr>
      </w:pPr>
      <w:r>
        <w:rPr>
          <w:rFonts w:eastAsia="Microsoft YaHei"/>
        </w:rPr>
        <w:t>uncertainty that cannot be resolved within one additional probe.</w:t>
      </w:r>
    </w:p>
    <w:p>
      <w:r>
        <w:rPr>
          <w:rFonts w:eastAsia="Microsoft YaHei"/>
        </w:rPr>
        <w:t>The target sample remains N=12. Do not add participants solely to make the findings look consistent. Add replacement sessions only for unusable data caused by consent withdrawal or complete technical loss, and document the replacement.</w:t>
      </w:r>
    </w:p>
    <w:p>
      <w:pPr>
        <w:pStyle w:val="Heading1"/>
      </w:pPr>
      <w:r>
        <w:rPr>
          <w:rFonts w:eastAsia="Microsoft YaHei"/>
        </w:rPr>
        <w:t>13. Reporting and claim boundaries</w:t>
      </w:r>
    </w:p>
    <w:p>
      <w:r>
        <w:rPr>
          <w:rFonts w:eastAsia="Microsoft YaHei"/>
        </w:rPr>
        <w:t>Report the study as an expanded evaluation of a developer sensemaking workflow across quota-balanced, participant-selected tasks.</w:t>
      </w:r>
    </w:p>
    <w:p>
      <w:r>
        <w:rPr>
          <w:rFonts w:eastAsia="Microsoft YaHei"/>
        </w:rPr>
        <w:t>Appropriate claims include:</w:t>
      </w:r>
    </w:p>
    <w:p>
      <w:pPr>
        <w:pStyle w:val="ListBullet"/>
        <w:numPr>
          <w:ilvl w:val="0"/>
          <w:numId w:val="91"/>
        </w:numPr>
      </w:pPr>
      <w:r>
        <w:rPr>
          <w:rFonts w:eastAsia="Microsoft YaHei"/>
        </w:rPr>
        <w:t>how participants framed configuration contrasts;</w:t>
      </w:r>
    </w:p>
    <w:p>
      <w:pPr>
        <w:pStyle w:val="ListBullet"/>
        <w:numPr>
          <w:ilvl w:val="0"/>
          <w:numId w:val="91"/>
        </w:numPr>
      </w:pPr>
      <w:r>
        <w:rPr>
          <w:rFonts w:eastAsia="Microsoft YaHei"/>
        </w:rPr>
        <w:t>how interpretations changed during aligned comparison;</w:t>
      </w:r>
    </w:p>
    <w:p>
      <w:pPr>
        <w:pStyle w:val="ListBullet"/>
        <w:numPr>
          <w:ilvl w:val="0"/>
          <w:numId w:val="91"/>
        </w:numPr>
      </w:pPr>
      <w:r>
        <w:rPr>
          <w:rFonts w:eastAsia="Microsoft YaHei"/>
        </w:rPr>
        <w:t>how observations became configuration probes;</w:t>
      </w:r>
    </w:p>
    <w:p>
      <w:pPr>
        <w:pStyle w:val="ListBullet"/>
        <w:numPr>
          <w:ilvl w:val="0"/>
          <w:numId w:val="91"/>
        </w:numPr>
      </w:pPr>
      <w:r>
        <w:rPr>
          <w:rFonts w:eastAsia="Microsoft YaHei"/>
        </w:rPr>
        <w:t>which system resources supported or complicated sensemaking;</w:t>
      </w:r>
    </w:p>
    <w:p>
      <w:pPr>
        <w:pStyle w:val="ListBullet"/>
        <w:numPr>
          <w:ilvl w:val="0"/>
          <w:numId w:val="91"/>
        </w:numPr>
      </w:pPr>
      <w:r>
        <w:rPr>
          <w:rFonts w:eastAsia="Microsoft YaHei"/>
        </w:rPr>
        <w:t>where the workflow failed or left uncertainty.</w:t>
      </w:r>
    </w:p>
    <w:p>
      <w:r>
        <w:rPr>
          <w:rFonts w:eastAsia="Microsoft YaHei"/>
        </w:rPr>
        <w:t>Avoid claims that:</w:t>
      </w:r>
    </w:p>
    <w:p>
      <w:pPr>
        <w:pStyle w:val="ListBullet"/>
        <w:numPr>
          <w:ilvl w:val="0"/>
          <w:numId w:val="91"/>
        </w:numPr>
      </w:pPr>
      <w:r>
        <w:rPr>
          <w:rFonts w:eastAsia="Microsoft YaHei"/>
        </w:rPr>
        <w:t>EvalAgent universally improves task success;</w:t>
      </w:r>
    </w:p>
    <w:p>
      <w:pPr>
        <w:pStyle w:val="ListBullet"/>
        <w:numPr>
          <w:ilvl w:val="0"/>
          <w:numId w:val="91"/>
        </w:numPr>
      </w:pPr>
      <w:r>
        <w:rPr>
          <w:rFonts w:eastAsia="Microsoft YaHei"/>
        </w:rPr>
        <w:t>a particular configuration caused behavior based on one revised run;</w:t>
      </w:r>
    </w:p>
    <w:p>
      <w:pPr>
        <w:pStyle w:val="ListBullet"/>
        <w:numPr>
          <w:ilvl w:val="0"/>
          <w:numId w:val="91"/>
        </w:numPr>
      </w:pPr>
      <w:r>
        <w:rPr>
          <w:rFonts w:eastAsia="Microsoft YaHei"/>
        </w:rPr>
        <w:t>findings generalize statistically to every WebHarbor domain;</w:t>
      </w:r>
    </w:p>
    <w:p>
      <w:pPr>
        <w:pStyle w:val="ListBullet"/>
        <w:numPr>
          <w:ilvl w:val="0"/>
          <w:numId w:val="91"/>
        </w:numPr>
      </w:pPr>
      <w:r>
        <w:rPr>
          <w:rFonts w:eastAsia="Microsoft YaHei"/>
        </w:rPr>
        <w:t>criteria or Judge output are necessary for sensemaking;</w:t>
      </w:r>
    </w:p>
    <w:p>
      <w:pPr>
        <w:pStyle w:val="ListBullet"/>
        <w:numPr>
          <w:ilvl w:val="0"/>
          <w:numId w:val="91"/>
        </w:numPr>
      </w:pPr>
      <w:r>
        <w:rPr>
          <w:rFonts w:eastAsia="Microsoft YaHei"/>
        </w:rPr>
        <w:t>participant-selected tasks are representative of all real-world use.</w:t>
      </w:r>
    </w:p>
    <w:p>
      <w:r>
        <w:rPr>
          <w:rFonts w:eastAsia="Microsoft YaHei"/>
        </w:rPr>
        <w:t>Use the original controlled study for component-effect claims and this expanded study for ecological process and boundary claims.</w:t>
      </w:r>
    </w:p>
    <w:p>
      <w:r>
        <w:rPr>
          <w:rFonts w:eastAsia="Microsoft YaHei"/>
        </w:rPr>
        <w:br w:type="page"/>
      </w:r>
    </w:p>
    <w:p>
      <w:pPr>
        <w:pStyle w:val="Heading1"/>
      </w:pPr>
      <w:r>
        <w:rPr>
          <w:rFonts w:eastAsia="Microsoft YaHei"/>
        </w:rPr>
        <w:t>Appendix A. Moderator run sheet</w:t>
      </w:r>
    </w:p>
    <w:p>
      <w:pPr>
        <w:pStyle w:val="Heading2"/>
      </w:pPr>
      <w:r>
        <w:rPr>
          <w:rFonts w:eastAsia="Microsoft YaHei"/>
        </w:rPr>
        <w:t>Before the participant arrives</w:t>
      </w:r>
    </w:p>
    <w:p>
      <w:pPr>
        <w:pStyle w:val="ListBullet"/>
        <w:numPr>
          <w:ilvl w:val="0"/>
          <w:numId w:val="91"/>
        </w:numPr>
      </w:pPr>
      <w:r>
        <w:rPr>
          <w:rFonts w:eastAsia="Microsoft YaHei"/>
        </w:rPr>
        <w:t>Confirm current domain/site quota counts.</w:t>
      </w:r>
    </w:p>
    <w:p>
      <w:pPr>
        <w:pStyle w:val="ListBullet"/>
        <w:numPr>
          <w:ilvl w:val="0"/>
          <w:numId w:val="91"/>
        </w:numPr>
      </w:pPr>
      <w:r>
        <w:rPr>
          <w:rFonts w:eastAsia="Microsoft YaHei"/>
        </w:rPr>
        <w:t>Prepare three quota-open sites from distinct families.</w:t>
      </w:r>
    </w:p>
    <w:p>
      <w:pPr>
        <w:pStyle w:val="ListBullet"/>
        <w:numPr>
          <w:ilvl w:val="0"/>
          <w:numId w:val="91"/>
        </w:numPr>
      </w:pPr>
      <w:r>
        <w:rPr>
          <w:rFonts w:eastAsia="Microsoft YaHei"/>
        </w:rPr>
        <w:t>Reset replica state and verify safe mode.</w:t>
      </w:r>
    </w:p>
    <w:p>
      <w:pPr>
        <w:pStyle w:val="ListBullet"/>
        <w:numPr>
          <w:ilvl w:val="0"/>
          <w:numId w:val="91"/>
        </w:numPr>
      </w:pPr>
      <w:r>
        <w:rPr>
          <w:rFonts w:eastAsia="Microsoft YaHei"/>
        </w:rPr>
        <w:t>Verify model/version, tools, maximum steps, timeout, logging, and trajectory alignment.</w:t>
      </w:r>
    </w:p>
    <w:p>
      <w:pPr>
        <w:pStyle w:val="ListBullet"/>
        <w:numPr>
          <w:ilvl w:val="0"/>
          <w:numId w:val="91"/>
        </w:numPr>
      </w:pPr>
      <w:r>
        <w:rPr>
          <w:rFonts w:eastAsia="Microsoft YaHei"/>
        </w:rPr>
        <w:t>Prepare participant ID and capture sheet.</w:t>
      </w:r>
    </w:p>
    <w:p>
      <w:pPr>
        <w:pStyle w:val="ListBullet"/>
        <w:numPr>
          <w:ilvl w:val="0"/>
          <w:numId w:val="91"/>
        </w:numPr>
      </w:pPr>
      <w:r>
        <w:rPr>
          <w:rFonts w:eastAsia="Microsoft YaHei"/>
        </w:rPr>
        <w:t>Test screen/audio recording.</w:t>
      </w:r>
    </w:p>
    <w:p>
      <w:pPr>
        <w:pStyle w:val="Heading2"/>
      </w:pPr>
      <w:r>
        <w:rPr>
          <w:rFonts w:eastAsia="Microsoft YaHei"/>
        </w:rPr>
        <w:t>During the session</w:t>
      </w:r>
    </w:p>
    <w:p>
      <w:pPr>
        <w:pStyle w:val="ListBullet"/>
        <w:numPr>
          <w:ilvl w:val="0"/>
          <w:numId w:val="91"/>
        </w:numPr>
      </w:pPr>
      <w:r>
        <w:rPr>
          <w:rFonts w:eastAsia="Microsoft YaHei"/>
        </w:rPr>
        <w:t>Keep the task and all non-configuration factors identical across A and B.</w:t>
      </w:r>
    </w:p>
    <w:p>
      <w:pPr>
        <w:pStyle w:val="ListBullet"/>
        <w:numPr>
          <w:ilvl w:val="0"/>
          <w:numId w:val="91"/>
        </w:numPr>
      </w:pPr>
      <w:r>
        <w:rPr>
          <w:rFonts w:eastAsia="Microsoft YaHei"/>
        </w:rPr>
        <w:t>Do not reveal partial initial trajectories.</w:t>
      </w:r>
    </w:p>
    <w:p>
      <w:pPr>
        <w:pStyle w:val="ListBullet"/>
        <w:numPr>
          <w:ilvl w:val="0"/>
          <w:numId w:val="91"/>
        </w:numPr>
      </w:pPr>
      <w:r>
        <w:rPr>
          <w:rFonts w:eastAsia="Microsoft YaHei"/>
        </w:rPr>
        <w:t>Ask open questions before asking about specific EvalAgent resources.</w:t>
      </w:r>
    </w:p>
    <w:p>
      <w:pPr>
        <w:pStyle w:val="ListBullet"/>
        <w:numPr>
          <w:ilvl w:val="0"/>
          <w:numId w:val="91"/>
        </w:numPr>
      </w:pPr>
      <w:r>
        <w:rPr>
          <w:rFonts w:eastAsia="Microsoft YaHei"/>
        </w:rPr>
        <w:t>Do not make formal criteria production a requirement.</w:t>
      </w:r>
    </w:p>
    <w:p>
      <w:pPr>
        <w:pStyle w:val="ListBullet"/>
        <w:numPr>
          <w:ilvl w:val="0"/>
          <w:numId w:val="91"/>
        </w:numPr>
      </w:pPr>
      <w:r>
        <w:rPr>
          <w:rFonts w:eastAsia="Microsoft YaHei"/>
        </w:rPr>
        <w:t>Require one targeted revision with a prediction and falsifier.</w:t>
      </w:r>
    </w:p>
    <w:p>
      <w:pPr>
        <w:pStyle w:val="ListBullet"/>
        <w:numPr>
          <w:ilvl w:val="0"/>
          <w:numId w:val="91"/>
        </w:numPr>
      </w:pPr>
      <w:r>
        <w:rPr>
          <w:rFonts w:eastAsia="Microsoft YaHei"/>
        </w:rPr>
        <w:t>Distinguish behavioral failure from technical failure.</w:t>
      </w:r>
    </w:p>
    <w:p>
      <w:pPr>
        <w:pStyle w:val="Heading2"/>
      </w:pPr>
      <w:r>
        <w:rPr>
          <w:rFonts w:eastAsia="Microsoft YaHei"/>
        </w:rPr>
        <w:t>After the session</w:t>
      </w:r>
    </w:p>
    <w:p>
      <w:pPr>
        <w:pStyle w:val="ListBullet"/>
        <w:numPr>
          <w:ilvl w:val="0"/>
          <w:numId w:val="91"/>
        </w:numPr>
      </w:pPr>
      <w:r>
        <w:rPr>
          <w:rFonts w:eastAsia="Microsoft YaHei"/>
        </w:rPr>
        <w:t>Export A, B, and revised configurations with version identifiers.</w:t>
      </w:r>
    </w:p>
    <w:p>
      <w:pPr>
        <w:pStyle w:val="ListBullet"/>
        <w:numPr>
          <w:ilvl w:val="0"/>
          <w:numId w:val="91"/>
        </w:numPr>
      </w:pPr>
      <w:r>
        <w:rPr>
          <w:rFonts w:eastAsia="Microsoft YaHei"/>
        </w:rPr>
        <w:t>Export trajectories, interaction logs, timestamps, and system metadata.</w:t>
      </w:r>
    </w:p>
    <w:p>
      <w:pPr>
        <w:pStyle w:val="ListBullet"/>
        <w:numPr>
          <w:ilvl w:val="0"/>
          <w:numId w:val="91"/>
        </w:numPr>
      </w:pPr>
      <w:r>
        <w:rPr>
          <w:rFonts w:eastAsia="Microsoft YaHei"/>
        </w:rPr>
        <w:t>Bookmark participant-cited evidence moments.</w:t>
      </w:r>
    </w:p>
    <w:p>
      <w:pPr>
        <w:pStyle w:val="ListBullet"/>
        <w:numPr>
          <w:ilvl w:val="0"/>
          <w:numId w:val="91"/>
        </w:numPr>
      </w:pPr>
      <w:r>
        <w:rPr>
          <w:rFonts w:eastAsia="Microsoft YaHei"/>
        </w:rPr>
        <w:t>Complete failure classification and quota counts.</w:t>
      </w:r>
    </w:p>
    <w:p>
      <w:pPr>
        <w:pStyle w:val="ListBullet"/>
        <w:numPr>
          <w:ilvl w:val="0"/>
          <w:numId w:val="91"/>
        </w:numPr>
      </w:pPr>
      <w:r>
        <w:rPr>
          <w:rFonts w:eastAsia="Microsoft YaHei"/>
        </w:rPr>
        <w:t>De-identify files and note whether follow-up is required.</w:t>
      </w:r>
    </w:p>
    <w:p>
      <w:r>
        <w:rPr>
          <w:rFonts w:eastAsia="Microsoft YaHei"/>
        </w:rPr>
        <w:br w:type="page"/>
      </w:r>
    </w:p>
    <w:p>
      <w:pPr>
        <w:pStyle w:val="Heading1"/>
      </w:pPr>
      <w:r>
        <w:rPr>
          <w:rFonts w:eastAsia="Microsoft YaHei"/>
        </w:rPr>
        <w:t>Appendix B. Structured data capture sheet</w:t>
      </w:r>
    </w:p>
    <w:p>
      <w:pPr>
        <w:pStyle w:val="Heading2"/>
      </w:pPr>
      <w:r>
        <w:rPr>
          <w:rFonts w:eastAsia="Microsoft YaHei"/>
        </w:rPr>
        <w:t>Session context</w:t>
      </w:r>
    </w:p>
    <w:p>
      <w:pPr>
        <w:pStyle w:val="ListBullet"/>
        <w:numPr>
          <w:ilvl w:val="0"/>
          <w:numId w:val="91"/>
        </w:numPr>
      </w:pPr>
      <w:r>
        <w:rPr>
          <w:rFonts w:eastAsia="Microsoft YaHei"/>
        </w:rPr>
        <w:t>Participant ID:</w:t>
      </w:r>
    </w:p>
    <w:p>
      <w:pPr>
        <w:pStyle w:val="ListBullet"/>
        <w:numPr>
          <w:ilvl w:val="0"/>
          <w:numId w:val="91"/>
        </w:numPr>
      </w:pPr>
      <w:r>
        <w:rPr>
          <w:rFonts w:eastAsia="Microsoft YaHei"/>
        </w:rPr>
        <w:t>Role and relevant GUI-agent experience:</w:t>
      </w:r>
    </w:p>
    <w:p>
      <w:pPr>
        <w:pStyle w:val="ListBullet"/>
        <w:numPr>
          <w:ilvl w:val="0"/>
          <w:numId w:val="91"/>
        </w:numPr>
      </w:pPr>
      <w:r>
        <w:rPr>
          <w:rFonts w:eastAsia="Microsoft YaHei"/>
        </w:rPr>
        <w:t>Recording/consent status:</w:t>
      </w:r>
    </w:p>
    <w:p>
      <w:pPr>
        <w:pStyle w:val="Heading2"/>
      </w:pPr>
      <w:r>
        <w:rPr>
          <w:rFonts w:eastAsia="Microsoft YaHei"/>
        </w:rPr>
        <w:t>ERQ1 - Domain, task, and configuration framing</w:t>
      </w:r>
    </w:p>
    <w:p>
      <w:pPr>
        <w:pStyle w:val="ListBullet"/>
        <w:numPr>
          <w:ilvl w:val="0"/>
          <w:numId w:val="91"/>
        </w:numPr>
      </w:pPr>
      <w:r>
        <w:rPr>
          <w:rFonts w:eastAsia="Microsoft YaHei"/>
        </w:rPr>
        <w:t>Selected site/family:</w:t>
      </w:r>
    </w:p>
    <w:p>
      <w:pPr>
        <w:pStyle w:val="ListBullet"/>
        <w:numPr>
          <w:ilvl w:val="0"/>
          <w:numId w:val="91"/>
        </w:numPr>
      </w:pPr>
      <w:r>
        <w:rPr>
          <w:rFonts w:eastAsia="Microsoft YaHei"/>
        </w:rPr>
        <w:t>Final task wording:</w:t>
      </w:r>
    </w:p>
    <w:p>
      <w:pPr>
        <w:pStyle w:val="ListBullet"/>
        <w:numPr>
          <w:ilvl w:val="0"/>
          <w:numId w:val="91"/>
        </w:numPr>
      </w:pPr>
      <w:r>
        <w:rPr>
          <w:rFonts w:eastAsia="Microsoft YaHei"/>
        </w:rPr>
        <w:t>Participant-defined stopping condition:</w:t>
      </w:r>
    </w:p>
    <w:p>
      <w:pPr>
        <w:pStyle w:val="ListBullet"/>
        <w:numPr>
          <w:ilvl w:val="0"/>
          <w:numId w:val="91"/>
        </w:numPr>
      </w:pPr>
      <w:r>
        <w:rPr>
          <w:rFonts w:eastAsia="Microsoft YaHei"/>
        </w:rPr>
        <w:t>Agent A and B configuration IDs:</w:t>
      </w:r>
    </w:p>
    <w:p>
      <w:pPr>
        <w:pStyle w:val="ListBullet"/>
        <w:numPr>
          <w:ilvl w:val="0"/>
          <w:numId w:val="91"/>
        </w:numPr>
      </w:pPr>
      <w:r>
        <w:rPr>
          <w:rFonts w:eastAsia="Microsoft YaHei"/>
        </w:rPr>
        <w:t>One-sentence configuration contrast:</w:t>
      </w:r>
    </w:p>
    <w:p>
      <w:pPr>
        <w:pStyle w:val="ListBullet"/>
        <w:numPr>
          <w:ilvl w:val="0"/>
          <w:numId w:val="91"/>
        </w:numPr>
      </w:pPr>
      <w:r>
        <w:rPr>
          <w:rFonts w:eastAsia="Microsoft YaHei"/>
        </w:rPr>
        <w:t>Predicted behavioral difference and initial explanation:</w:t>
      </w:r>
    </w:p>
    <w:p>
      <w:pPr>
        <w:pStyle w:val="Heading2"/>
      </w:pPr>
      <w:r>
        <w:rPr>
          <w:rFonts w:eastAsia="Microsoft YaHei"/>
        </w:rPr>
        <w:t>ERQ2 - Comparison and mental-model development</w:t>
      </w:r>
    </w:p>
    <w:p>
      <w:pPr>
        <w:pStyle w:val="ListBullet"/>
        <w:numPr>
          <w:ilvl w:val="0"/>
          <w:numId w:val="91"/>
        </w:numPr>
      </w:pPr>
      <w:r>
        <w:rPr>
          <w:rFonts w:eastAsia="Microsoft YaHei"/>
        </w:rPr>
        <w:t>Key trajectory moment(s):</w:t>
      </w:r>
    </w:p>
    <w:p>
      <w:pPr>
        <w:pStyle w:val="ListBullet"/>
        <w:numPr>
          <w:ilvl w:val="0"/>
          <w:numId w:val="91"/>
        </w:numPr>
      </w:pPr>
      <w:r>
        <w:rPr>
          <w:rFonts w:eastAsia="Microsoft YaHei"/>
        </w:rPr>
        <w:t>Interpretation and whether the initial explanation changed:</w:t>
      </w:r>
    </w:p>
    <w:p>
      <w:pPr>
        <w:pStyle w:val="ListBullet"/>
        <w:numPr>
          <w:ilvl w:val="0"/>
          <w:numId w:val="91"/>
        </w:numPr>
      </w:pPr>
      <w:r>
        <w:rPr>
          <w:rFonts w:eastAsia="Microsoft YaHei"/>
        </w:rPr>
        <w:t>Concise post-comparison explanation:</w:t>
      </w:r>
    </w:p>
    <w:p>
      <w:pPr>
        <w:pStyle w:val="ListBullet"/>
        <w:numPr>
          <w:ilvl w:val="0"/>
          <w:numId w:val="91"/>
        </w:numPr>
      </w:pPr>
      <w:r>
        <w:rPr>
          <w:rFonts w:eastAsia="Microsoft YaHei"/>
        </w:rPr>
        <w:t>EvalAgent resource that most shaped the explanation:</w:t>
      </w:r>
    </w:p>
    <w:p>
      <w:pPr>
        <w:pStyle w:val="Heading2"/>
      </w:pPr>
      <w:r>
        <w:rPr>
          <w:rFonts w:eastAsia="Microsoft YaHei"/>
        </w:rPr>
        <w:t>ERQ3 - Reconfiguration probe and boundary</w:t>
      </w:r>
    </w:p>
    <w:p>
      <w:pPr>
        <w:pStyle w:val="ListBullet"/>
        <w:numPr>
          <w:ilvl w:val="0"/>
          <w:numId w:val="91"/>
        </w:numPr>
      </w:pPr>
      <w:r>
        <w:rPr>
          <w:rFonts w:eastAsia="Microsoft YaHei"/>
        </w:rPr>
        <w:t>Key moment motivating revision:</w:t>
      </w:r>
    </w:p>
    <w:p>
      <w:pPr>
        <w:pStyle w:val="ListBullet"/>
        <w:numPr>
          <w:ilvl w:val="0"/>
          <w:numId w:val="91"/>
        </w:numPr>
      </w:pPr>
      <w:r>
        <w:rPr>
          <w:rFonts w:eastAsia="Microsoft YaHei"/>
        </w:rPr>
        <w:t>Exact configuration diff:</w:t>
      </w:r>
    </w:p>
    <w:p>
      <w:pPr>
        <w:pStyle w:val="ListBullet"/>
        <w:numPr>
          <w:ilvl w:val="0"/>
          <w:numId w:val="91"/>
        </w:numPr>
      </w:pPr>
      <w:r>
        <w:rPr>
          <w:rFonts w:eastAsia="Microsoft YaHei"/>
        </w:rPr>
        <w:t>Predicted change and support/challenge observation:</w:t>
      </w:r>
    </w:p>
    <w:p>
      <w:pPr>
        <w:pStyle w:val="ListBullet"/>
        <w:numPr>
          <w:ilvl w:val="0"/>
          <w:numId w:val="91"/>
        </w:numPr>
      </w:pPr>
      <w:r>
        <w:rPr>
          <w:rFonts w:eastAsia="Microsoft YaHei"/>
        </w:rPr>
        <w:t>Probe classification and cited evidence:</w:t>
      </w:r>
    </w:p>
    <w:p>
      <w:pPr>
        <w:pStyle w:val="ListBullet"/>
        <w:numPr>
          <w:ilvl w:val="0"/>
          <w:numId w:val="91"/>
        </w:numPr>
      </w:pPr>
      <w:r>
        <w:rPr>
          <w:rFonts w:eastAsia="Microsoft YaHei"/>
        </w:rPr>
        <w:t>Final decision-keep/revise/discard:</w:t>
      </w:r>
    </w:p>
    <w:p>
      <w:pPr>
        <w:pStyle w:val="ListBullet"/>
        <w:numPr>
          <w:ilvl w:val="0"/>
          <w:numId w:val="91"/>
        </w:numPr>
      </w:pPr>
      <w:r>
        <w:rPr>
          <w:rFonts w:eastAsia="Microsoft YaHei"/>
        </w:rPr>
        <w:t>Remaining issue or next test:</w:t>
      </w:r>
    </w:p>
    <w:p>
      <w:pPr>
        <w:pStyle w:val="ListBullet"/>
        <w:numPr>
          <w:ilvl w:val="0"/>
          <w:numId w:val="91"/>
        </w:numPr>
      </w:pPr>
      <w:r>
        <w:rPr>
          <w:rFonts w:eastAsia="Microsoft YaHei"/>
        </w:rPr>
        <w:t>Technical failure status, if any:</w:t>
      </w:r>
    </w:p>
    <w:p>
      <w:r>
        <w:rPr>
          <w:rFonts w:eastAsia="Microsoft YaHei"/>
        </w:rPr>
        <w:br w:type="page"/>
      </w:r>
    </w:p>
    <w:p>
      <w:pPr>
        <w:pStyle w:val="Heading1"/>
      </w:pPr>
      <w:r>
        <w:rPr>
          <w:rFonts w:eastAsia="Microsoft YaHei"/>
        </w:rPr>
        <w:t>Appendix C. Standardized asynchronous follow-up</w:t>
      </w:r>
    </w:p>
    <w:p>
      <w:r>
        <w:rPr>
          <w:rFonts w:eastAsia="Microsoft YaHei"/>
        </w:rPr>
        <w:t>Use only when the revised run was already started but did not finish by minute 55. Send the trajectory/result without additional interpretation.</w:t>
      </w:r>
    </w:p>
    <w:p>
      <w:pPr>
        <w:pStyle w:val="ListNumber"/>
        <w:numPr>
          <w:ilvl w:val="0"/>
          <w:numId w:val="92"/>
        </w:numPr>
      </w:pPr>
      <w:r>
        <w:rPr>
          <w:rFonts w:eastAsia="Microsoft YaHei"/>
          <w:b/>
        </w:rPr>
        <w:t>[ERQ3]</w:t>
      </w:r>
      <w:r>
        <w:rPr>
          <w:rFonts w:eastAsia="Microsoft YaHei"/>
        </w:rPr>
        <w:t xml:space="preserve"> Did the revised behavior change as predicted, which trajectory moment is most diagnostic, and does the result support, partially support, challenge, or leave your explanation unresolved?</w:t>
      </w:r>
    </w:p>
    <w:p>
      <w:pPr>
        <w:pStyle w:val="ListNumber"/>
        <w:numPr>
          <w:ilvl w:val="0"/>
          <w:numId w:val="92"/>
        </w:numPr>
      </w:pPr>
      <w:r>
        <w:rPr>
          <w:rFonts w:eastAsia="Microsoft YaHei"/>
          <w:b/>
        </w:rPr>
        <w:t>[ERQ3]</w:t>
      </w:r>
      <w:r>
        <w:rPr>
          <w:rFonts w:eastAsia="Microsoft YaHei"/>
        </w:rPr>
        <w:t xml:space="preserve"> Would you keep, further revise, or discard the configuration change; what remains unclear, and what would you test next?</w:t>
      </w:r>
    </w:p>
    <w:p>
      <w:r>
        <w:rPr>
          <w:rFonts w:eastAsia="Microsoft YaHei"/>
        </w:rPr>
        <w:t>Record response time, response modality, and whether the participant viewed the full trajectory.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67085"/>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color w:val="667085"/>
        <w:sz w:val="17"/>
      </w:rPr>
      <w:t>EVALAGENT  |  EXPANDED SENSEMAKING STUDY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1">
    <w:multiLevelType w:val="singleLevel"/>
    <w:lvl w:ilvl="0">
      <w:start w:val="1"/>
      <w:numFmt w:val="bullet"/>
      <w:lvlText w:val=""/>
      <w:suff w:val="tab"/>
      <w:pPr>
        <w:tabs>
          <w:tab w:val="num" w:pos="540"/>
        </w:tabs>
        <w:ind w:left="540" w:hanging="270"/>
        <w:spacing w:after="80" w:line="300" w:lineRule="auto"/>
      </w:pPr>
      <w:rPr>
        <w:rFonts w:ascii="Symbol" w:hAnsi="Symbol"/>
      </w:rPr>
    </w:lvl>
  </w:abstractNum>
  <w:num w:numId="91">
    <w:abstractNumId w:val="91"/>
  </w:num>
  <w:abstractNum w:abstractNumId="92">
    <w:multiLevelType w:val="singleLevel"/>
    <w:lvl w:ilvl="0">
      <w:start w:val="1"/>
      <w:numFmt w:val="decimal"/>
      <w:lvlText w:val="%1."/>
      <w:suff w:val="tab"/>
      <w:pPr>
        <w:tabs>
          <w:tab w:val="num" w:pos="540"/>
        </w:tabs>
        <w:ind w:left="540" w:hanging="270"/>
        <w:spacing w:after="80" w:line="300" w:lineRule="auto"/>
      </w:pPr>
    </w:lvl>
  </w:abstractNum>
  <w:num w:numId="92">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60" w:line="288" w:lineRule="auto"/>
      <w:ind w:left="432" w:right="288"/>
    </w:pPr>
    <w:rPr>
      <w:rFonts w:ascii="Calibri" w:hAnsi="Calibri"/>
      <w:i/>
      <w:iCs/>
      <w:color w:val="0B2545"/>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EvalAgent Expanded Sensemaking Study Protocol</dc:title>
  <dc:subject>How developers configure, compare, explain, and reconfigure GUI agents</dc:subject>
  <dc:creator>EvalAgent Research Team</dc:creator>
  <cp:keywords>EvalAgent, GUI agents, user study, WebHarbor, criteria evolution</cp:keywords>
  <dc:description>generated by python-docx</dc:description>
  <cp:lastModifiedBy/>
  <cp:revision>1</cp:revision>
  <dcterms:created xsi:type="dcterms:W3CDTF">2013-12-23T23:15:00Z</dcterms:created>
  <dcterms:modified xsi:type="dcterms:W3CDTF">2013-12-23T23:15:00Z</dcterms:modified>
  <cp:category/>
</cp:coreProperties>
</file>