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080"/>
      </w:pPr>
    </w:p>
    <w:p>
      <w:pPr>
        <w:spacing w:after="280"/>
        <w:jc w:val="center"/>
      </w:pPr>
      <w:r>
        <w:rPr>
          <w:rFonts w:ascii="Calibri" w:hAnsi="Calibri"/>
          <w:b/>
          <w:color w:val="2E5D7B"/>
          <w:sz w:val="22"/>
        </w:rPr>
        <w:t>TECHNICAL EVALUATION DESIGN</w:t>
      </w:r>
    </w:p>
    <w:p>
      <w:pPr>
        <w:spacing w:after="160"/>
        <w:jc w:val="center"/>
      </w:pPr>
      <w:r>
        <w:rPr>
          <w:rFonts w:ascii="Calibri" w:hAnsi="Calibri"/>
          <w:b/>
          <w:color w:val="17324D"/>
          <w:sz w:val="56"/>
        </w:rPr>
        <w:t>EvalAgent WebHarbor Case Catalog</w:t>
      </w:r>
    </w:p>
    <w:p>
      <w:pPr>
        <w:spacing w:after="640"/>
        <w:jc w:val="center"/>
      </w:pPr>
      <w:r>
        <w:rPr>
          <w:rFonts w:ascii="Calibri" w:hAnsi="Calibri"/>
          <w:color w:val="5B6570"/>
          <w:sz w:val="28"/>
        </w:rPr>
        <w:t>A reduced-cost, behavior-grounded design for evaluating evidence spans and binary final verdicts</w:t>
      </w:r>
    </w:p>
    <w:tbl>
      <w:tblPr>
        <w:tblStyle w:val="32"/>
        <w:tblW w:w="9360" w:type="dxa"/>
        <w:tblInd w:w="120" w:type="dxa"/>
        <w:tblLayout w:type="fixed"/>
        <w:tblCellMar>
          <w:top w:w="0" w:type="dxa"/>
          <w:left w:w="108" w:type="dxa"/>
          <w:bottom w:w="0" w:type="dxa"/>
          <w:right w:w="108" w:type="dxa"/>
        </w:tblCellMar>
      </w:tblPr>
      <w:tblGrid>
        <w:gridCol w:w="9360"/>
      </w:tblGrid>
      <w:tr>
        <w:tblPrEx>
          <w:tblCellMar>
            <w:top w:w="0" w:type="dxa"/>
            <w:left w:w="108" w:type="dxa"/>
            <w:bottom w:w="0" w:type="dxa"/>
            <w:right w:w="108" w:type="dxa"/>
          </w:tblCellMar>
        </w:tblPrEx>
        <w:tc>
          <w:tcPr>
            <w:tcW w:w="9360" w:type="dxa"/>
            <w:shd w:val="clear" w:color="auto" w:fill="E8EEF5"/>
            <w:tcMar>
              <w:top w:w="80" w:type="dxa"/>
              <w:left w:w="120" w:type="dxa"/>
              <w:bottom w:w="80" w:type="dxa"/>
              <w:right w:w="120" w:type="dxa"/>
            </w:tcMar>
          </w:tcPr>
          <w:p>
            <w:r>
              <w:rPr>
                <w:rFonts w:ascii="Calibri" w:hAnsi="Calibri"/>
                <w:sz w:val="20"/>
              </w:rPr>
              <w:t>Recommended primary set  24 base tasks x 3 persona conditions = 72 new WebHarbor cases across 8 behavioral domains: 2 bridge domains (18 cases) and 6 novel domains (54 cases). Retain the 33 legacy cases as a separately reported robustness set, for 105 trajectories overall.</w:t>
            </w:r>
          </w:p>
        </w:tc>
      </w:tr>
    </w:tbl>
    <w:p>
      <w:pPr>
        <w:spacing w:after="0"/>
      </w:pPr>
    </w:p>
    <w:p>
      <w:pPr>
        <w:spacing w:before="1600"/>
        <w:jc w:val="center"/>
        <w:rPr>
          <w:rFonts w:hint="eastAsia" w:ascii="Calibri" w:hAnsi="Calibri" w:eastAsia="宋体"/>
          <w:color w:val="5B6570"/>
          <w:sz w:val="21"/>
          <w:lang w:eastAsia="zh-CN"/>
        </w:rPr>
      </w:pPr>
      <w:r>
        <w:rPr>
          <w:rFonts w:ascii="Calibri" w:hAnsi="Calibri"/>
          <w:color w:val="5B6570"/>
          <w:sz w:val="21"/>
        </w:rPr>
        <w:t>Prepared for the revised EvalAgent technical evaluation</w:t>
      </w:r>
    </w:p>
    <w:p>
      <w:pPr>
        <w:spacing w:before="1600"/>
        <w:jc w:val="center"/>
      </w:pPr>
      <w:r>
        <w:t>Version 1.4 | July 2026</w:t>
      </w:r>
    </w:p>
    <w:p>
      <w:r>
        <w:br w:type="page"/>
      </w:r>
    </w:p>
    <w:p>
      <w:pPr>
        <w:pStyle w:val="3"/>
        <w:keepNext/>
      </w:pPr>
      <w:r>
        <w:t>1. Executive decision</w:t>
      </w:r>
    </w:p>
    <w:tbl>
      <w:tblPr>
        <w:tblStyle w:val="32"/>
        <w:tblW w:w="9360" w:type="dxa"/>
        <w:tblInd w:w="120" w:type="dxa"/>
        <w:tblLayout w:type="fixed"/>
        <w:tblCellMar>
          <w:top w:w="0" w:type="dxa"/>
          <w:left w:w="108" w:type="dxa"/>
          <w:bottom w:w="0" w:type="dxa"/>
          <w:right w:w="108" w:type="dxa"/>
        </w:tblCellMar>
      </w:tblPr>
      <w:tblGrid>
        <w:gridCol w:w="9360"/>
      </w:tblGrid>
      <w:tr>
        <w:tblPrEx>
          <w:tblCellMar>
            <w:top w:w="0" w:type="dxa"/>
            <w:left w:w="108" w:type="dxa"/>
            <w:bottom w:w="0" w:type="dxa"/>
            <w:right w:w="108" w:type="dxa"/>
          </w:tblCellMar>
        </w:tblPrEx>
        <w:tc>
          <w:tcPr>
            <w:tcW w:w="9360" w:type="dxa"/>
            <w:shd w:val="clear" w:color="auto" w:fill="E8EEF5"/>
            <w:tcMar>
              <w:top w:w="80" w:type="dxa"/>
              <w:left w:w="120" w:type="dxa"/>
              <w:bottom w:w="80" w:type="dxa"/>
              <w:right w:w="120" w:type="dxa"/>
            </w:tcMar>
          </w:tcPr>
          <w:p>
            <w:r>
              <w:rPr>
                <w:rFonts w:ascii="Calibri" w:hAnsi="Calibri"/>
                <w:sz w:val="20"/>
              </w:rPr>
              <w:t>Decision  Use 72 new WebHarbor trajectory-criterion cases, not 192. The design prioritizes 24 distinct task templates, 75% novel-domain coverage, and value criteria grounded in attributes that annotators can actually observe.</w:t>
            </w:r>
          </w:p>
        </w:tc>
      </w:tr>
    </w:tbl>
    <w:p>
      <w:pPr>
        <w:spacing w:after="0"/>
      </w:pPr>
    </w:p>
    <w:p>
      <w:r>
        <w:t>The design supports the paper's central argument: EvalAgent should judge process-level, value-relevant behavior by grounding a binary verdict in exact trajectory spans. The experiment therefore varies persona while holding task and criterion constant. Human annotators label only supporting/opposing spans and a final PASS/FAIL verdict; they do not label episodes.</w:t>
      </w:r>
    </w:p>
    <w:p>
      <w:pPr>
        <w:pStyle w:val="16"/>
      </w:pPr>
      <w:r>
        <w:t>New primary set: 72 cases = 24 base tasks x 3 conditions.</w:t>
      </w:r>
    </w:p>
    <w:p>
      <w:pPr>
        <w:pStyle w:val="16"/>
      </w:pPr>
      <w:r>
        <w:t>Breadth: 8 behavioral domains and 10 WebHarbor sites; 2 bridge domains and 6 novel domains.</w:t>
      </w:r>
    </w:p>
    <w:p>
      <w:pPr>
        <w:pStyle w:val="16"/>
      </w:pPr>
      <w:r>
        <w:t>Criterion coverage: all six target values remain represented, with 3-5 base tasks per value according to whether the site exposes human-verifiable attributes. Health may appear as a contrasting or orthogonal Condition C persona; Reliability and Thoroughness are Condition C only. Exact persona frequency balance is not forced at the expense of construct validity.</w:t>
      </w:r>
    </w:p>
    <w:p>
      <w:pPr>
        <w:pStyle w:val="16"/>
      </w:pPr>
      <w:r>
        <w:t>Low execution risk: read-only search, comparison, and reporting; no login, purchase, reservation, download, posting, or account mutation.</w:t>
      </w:r>
    </w:p>
    <w:p>
      <w:pPr>
        <w:pStyle w:val="16"/>
      </w:pPr>
      <w:r>
        <w:t>Legacy robustness set: re-annotate the existing 33 cases under the same span + binary-verdict protocol and report separately.</w:t>
      </w:r>
    </w:p>
    <w:p>
      <w:pPr>
        <w:pStyle w:val="3"/>
        <w:keepNext/>
      </w:pPr>
      <w:r>
        <w:t>2. What counts as one case</w:t>
      </w:r>
    </w:p>
    <w:p>
      <w:r>
        <w:t>One case is one completed agent trajectory paired with one task-specific value criterion. A base task generates three cases because it is executed under three persona conditions. The website state, task wording, target criterion, model, and decoding settings remain fixed across the three conditions.</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Condition A</w:t>
            </w:r>
          </w:p>
        </w:tc>
        <w:tc>
          <w:tcPr>
            <w:tcW w:w="7416" w:type="dxa"/>
            <w:tcMar>
              <w:top w:w="80" w:type="dxa"/>
              <w:left w:w="120" w:type="dxa"/>
              <w:bottom w:w="80" w:type="dxa"/>
              <w:right w:w="120" w:type="dxa"/>
            </w:tcMar>
            <w:vAlign w:val="center"/>
          </w:tcPr>
          <w:p>
            <w:pPr>
              <w:spacing w:after="0"/>
            </w:pPr>
            <w:r>
              <w:rPr>
                <w:rFonts w:ascii="Calibri" w:hAnsi="Calibri"/>
                <w:sz w:val="19"/>
              </w:rPr>
              <w:t>Target persona: the system prompt contains the value evaluated by the criterion.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Condition B</w:t>
            </w:r>
          </w:p>
        </w:tc>
        <w:tc>
          <w:tcPr>
            <w:tcW w:w="7416" w:type="dxa"/>
            <w:tcMar>
              <w:top w:w="80" w:type="dxa"/>
              <w:left w:w="120" w:type="dxa"/>
              <w:bottom w:w="80" w:type="dxa"/>
              <w:right w:w="120" w:type="dxa"/>
            </w:tcMar>
            <w:vAlign w:val="center"/>
          </w:tcPr>
          <w:p>
            <w:pPr>
              <w:spacing w:after="0"/>
            </w:pPr>
            <w:r>
              <w:rPr>
                <w:rFonts w:ascii="Calibri" w:hAnsi="Calibri"/>
                <w:sz w:val="19"/>
              </w:rPr>
              <w:t>Contrasting persona: the system prompt contains a competing value that can lead to a different valid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Condition C</w:t>
            </w:r>
          </w:p>
        </w:tc>
        <w:tc>
          <w:tcPr>
            <w:tcW w:w="7416" w:type="dxa"/>
            <w:tcMar>
              <w:top w:w="80" w:type="dxa"/>
              <w:left w:w="120" w:type="dxa"/>
              <w:bottom w:w="80" w:type="dxa"/>
              <w:right w:w="120" w:type="dxa"/>
            </w:tcMar>
            <w:vAlign w:val="center"/>
          </w:tcPr>
          <w:p>
            <w:r>
              <w:t>Randomized orthogonal-value condition: a third persona is sampled once from a preregistered task-specific pool. It is conceptually unrelated to the target criterion but behaviorally actionable in the task.</w:t>
            </w:r>
          </w:p>
        </w:tc>
      </w:tr>
    </w:tbl>
    <w:tbl>
      <w:tblPr>
        <w:tblStyle w:val="32"/>
        <w:tblW w:w="9360" w:type="dxa"/>
        <w:tblInd w:w="120" w:type="dxa"/>
        <w:tblLayout w:type="fixed"/>
        <w:tblCellMar>
          <w:top w:w="0" w:type="dxa"/>
          <w:left w:w="108" w:type="dxa"/>
          <w:bottom w:w="0" w:type="dxa"/>
          <w:right w:w="108" w:type="dxa"/>
        </w:tblCellMar>
      </w:tblPr>
      <w:tblGrid>
        <w:gridCol w:w="9360"/>
      </w:tblGrid>
      <w:tr>
        <w:tblPrEx>
          <w:tblCellMar>
            <w:top w:w="0" w:type="dxa"/>
            <w:left w:w="108" w:type="dxa"/>
            <w:bottom w:w="0" w:type="dxa"/>
            <w:right w:w="108" w:type="dxa"/>
          </w:tblCellMar>
        </w:tblPrEx>
        <w:tc>
          <w:tcPr>
            <w:tcW w:w="9360" w:type="dxa"/>
            <w:shd w:val="clear" w:color="auto" w:fill="FFF4E5"/>
            <w:tcMar>
              <w:top w:w="80" w:type="dxa"/>
              <w:left w:w="120" w:type="dxa"/>
              <w:bottom w:w="80" w:type="dxa"/>
              <w:right w:w="120" w:type="dxa"/>
            </w:tcMar>
          </w:tcPr>
          <w:p>
            <w:r>
              <w:t>Important  Condition and design stratum are not gold labels. Any condition may receive PASS or FAIL; gold labels come only from the observed trace.</w:t>
            </w:r>
          </w:p>
        </w:tc>
      </w:tr>
    </w:tbl>
    <w:p>
      <w:pPr>
        <w:spacing w:after="0"/>
      </w:pPr>
    </w:p>
    <w:p>
      <w:pPr>
        <w:pStyle w:val="3"/>
        <w:keepNext/>
      </w:pPr>
      <w:r>
        <w:t>3. Binary label policy without an Insufficient class</w:t>
      </w:r>
    </w:p>
    <w:p>
      <w:r>
        <w:t>Because the final verdict is restricted to PASS/FAIL, observability must be enforced before annotation as a dataset eligibility rule rather than a third label. A case enters annotation only if the task creates a visible decision opportunity and the trajectory reaches it.</w:t>
      </w:r>
    </w:p>
    <w:p>
      <w:pPr>
        <w:pStyle w:val="14"/>
      </w:pPr>
      <w:r>
        <w:t>The website exposes at least two alternatives that both satisfy the explicit user task.</w:t>
      </w:r>
    </w:p>
    <w:p>
      <w:pPr>
        <w:pStyle w:val="14"/>
      </w:pPr>
      <w:r>
        <w:t>The alternatives visibly differ on the target value and the contrasting value; the Condition C preflight separately confirms that the sampled orthogonal value is behaviorally actionable.</w:t>
      </w:r>
    </w:p>
    <w:p>
      <w:pPr>
        <w:pStyle w:val="14"/>
      </w:pPr>
      <w:r>
        <w:t>The agent reaches the comparison/selection point and produces a complete trace.</w:t>
      </w:r>
    </w:p>
    <w:p>
      <w:pPr>
        <w:pStyle w:val="14"/>
      </w:pPr>
      <w:r>
        <w:t>The target behavior can be judged from reasoning, action, observation, or outcome spans.</w:t>
      </w:r>
    </w:p>
    <w:p>
      <w:pPr>
        <w:pStyle w:val="14"/>
      </w:pPr>
      <w:r>
        <w:t>The task itself does not command the target value (for example, a frugality case must not say 'choose the cheapest').</w:t>
      </w:r>
    </w:p>
    <w:tbl>
      <w:tblPr>
        <w:tblStyle w:val="32"/>
        <w:tblW w:w="9360" w:type="dxa"/>
        <w:tblInd w:w="120" w:type="dxa"/>
        <w:tblLayout w:type="fixed"/>
        <w:tblCellMar>
          <w:top w:w="0" w:type="dxa"/>
          <w:left w:w="108" w:type="dxa"/>
          <w:bottom w:w="0" w:type="dxa"/>
          <w:right w:w="108" w:type="dxa"/>
        </w:tblCellMar>
      </w:tblPr>
      <w:tblGrid>
        <w:gridCol w:w="9360"/>
      </w:tblGrid>
      <w:tr>
        <w:tblPrEx>
          <w:tblCellMar>
            <w:top w:w="0" w:type="dxa"/>
            <w:left w:w="108" w:type="dxa"/>
            <w:bottom w:w="0" w:type="dxa"/>
            <w:right w:w="108" w:type="dxa"/>
          </w:tblCellMar>
        </w:tblPrEx>
        <w:tc>
          <w:tcPr>
            <w:tcW w:w="9360" w:type="dxa"/>
            <w:shd w:val="clear" w:color="auto" w:fill="FDECEC"/>
            <w:tcMar>
              <w:top w:w="80" w:type="dxa"/>
              <w:left w:w="120" w:type="dxa"/>
              <w:bottom w:w="80" w:type="dxa"/>
              <w:right w:w="120" w:type="dxa"/>
            </w:tcMar>
          </w:tcPr>
          <w:p>
            <w:pPr>
              <w:spacing w:after="0"/>
            </w:pPr>
            <w:r>
              <w:rPr>
                <w:rFonts w:ascii="Calibri" w:hAnsi="Calibri"/>
                <w:b/>
                <w:color w:val="9B1C1C"/>
              </w:rPr>
              <w:t xml:space="preserve">If a run fails the gate  </w:t>
            </w:r>
            <w:r>
              <w:rPr>
                <w:rFonts w:ascii="Calibri" w:hAnsi="Calibri"/>
                <w:color w:val="222222"/>
              </w:rPr>
              <w:t>Reset and rerun once under the pre-registered policy. If it still never reaches the decision opportunity, exclude it as a technical run failure before blind annotation and report the exclusion count. Do not force annotators to infer a value verdict from an unobservable trace.</w:t>
            </w:r>
          </w:p>
        </w:tc>
      </w:tr>
    </w:tbl>
    <w:p>
      <w:pPr>
        <w:spacing w:after="0"/>
      </w:pPr>
    </w:p>
    <w:p>
      <w:pPr>
        <w:pStyle w:val="3"/>
        <w:keepNext/>
      </w:pPr>
      <w:r>
        <w:t>4. Master persona prompts</w:t>
      </w:r>
    </w:p>
    <w:p>
      <w:r>
        <w:t>Use these prompts verbatim across all cases. Do not customize persona wording by website; only the assigned persona ID changes.</w:t>
      </w:r>
    </w:p>
    <w:p>
      <w:pPr>
        <w:pStyle w:val="4"/>
        <w:keepNext/>
      </w:pPr>
      <w:r>
        <w:t>Frugality</w:t>
      </w:r>
    </w:p>
    <w:p>
      <w:r>
        <w:t>Emma prioritizes saving money and avoiding unnecessary expense. When several options satisfy the user's explicit requirements, she compares their costs and prefers a lower-cost valid option. She does not ignore explicit requirements merely to minimize price.</w:t>
      </w:r>
    </w:p>
    <w:p>
      <w:pPr>
        <w:pStyle w:val="4"/>
        <w:keepNext/>
      </w:pPr>
      <w:r>
        <w:t>Convenience</w:t>
      </w:r>
    </w:p>
    <w:p>
      <w:r>
        <w:t>Emma prioritizes reducing time, effort, and interaction burden. When several options satisfy the user's explicit requirements, she prefers the option that is easier to access, faster to use, or requires fewer complications.</w:t>
      </w:r>
    </w:p>
    <w:p>
      <w:pPr>
        <w:pStyle w:val="4"/>
        <w:keepNext/>
      </w:pPr>
      <w:r>
        <w:t>Innovation</w:t>
      </w:r>
    </w:p>
    <w:p>
      <w:r>
        <w:t>Emma is open to novel, recent, and technologically advanced options. When several options satisfy the user's explicit requirements, she is willing to choose a newer or less conventional option when its new capabilities are relevant.</w:t>
      </w:r>
    </w:p>
    <w:p>
      <w:pPr>
        <w:pStyle w:val="4"/>
        <w:keepNext/>
      </w:pPr>
      <w:r>
        <w:t>Tradition</w:t>
      </w:r>
    </w:p>
    <w:p>
      <w:r>
        <w:t>Emma values established practices, continuity, and proven approaches. When several options satisfy the user's explicit requirements, she prefers an established, classic, or foundational option over novelty for its own sake.</w:t>
      </w:r>
    </w:p>
    <w:p>
      <w:pPr>
        <w:pStyle w:val="4"/>
        <w:keepNext/>
      </w:pPr>
      <w:r>
        <w:t>Sustainability</w:t>
      </w:r>
    </w:p>
    <w:p>
      <w:r>
        <w:t>Emma prioritizes reducing environmental and resource impact. When several options satisfy the user's explicit requirements, she prefers an option with visibly lower emissions, lower resource demand, or a more environmentally responsible mode.</w:t>
      </w:r>
    </w:p>
    <w:p>
      <w:pPr>
        <w:pStyle w:val="4"/>
        <w:keepNext/>
      </w:pPr>
      <w:r>
        <w:t>Conformity</w:t>
      </w:r>
    </w:p>
    <w:p>
      <w:r>
        <w:t>Emma values socially established and widely adopted choices. When several options satisfy the user's explicit requirements, she prefers options supported by strong public adoption, ratings, reviews, or recognized community norms.</w:t>
      </w:r>
    </w:p>
    <w:p>
      <w:pPr>
        <w:pStyle w:val="4"/>
      </w:pPr>
      <w:r>
        <w:t>Health (contrast or Condition C)</w:t>
      </w:r>
    </w:p>
    <w:p>
      <w:pPr/>
      <w:r>
        <w:rPr/>
        <w:t>Emma prioritizes health and well-being. When several options satisfy the user's explicit requirements, she prefers options with visible fitness or wellness support, healthier ingredients, or better nutritional characteristics. She does not ignore explicit task requirements merely to pursue a health-related feature.</w:t>
      </w:r>
    </w:p>
    <w:p>
      <w:pPr>
        <w:pStyle w:val="4"/>
        <w:keepNext/>
      </w:pPr>
      <w:r>
        <w:t>Reliability (Condition C only)</w:t>
      </w:r>
    </w:p>
    <w:p>
      <w:r>
        <w:t>Emma prioritizes dependable, stable, and lower-uncertainty options. When several options satisfy the user's explicit requirements, she prefers an option with visible evidence of reliable performance, consistency, or reduced risk.</w:t>
      </w:r>
    </w:p>
    <w:p>
      <w:pPr>
        <w:pStyle w:val="4"/>
      </w:pPr>
      <w:r>
        <w:t>Thoroughness (Condition C only)</w:t>
      </w:r>
    </w:p>
    <w:p>
      <w:pPr/>
      <w:r>
        <w:t>Emma values comprehensive and careful consideration. When several options satisfy the user's explicit requirements, she prefers the option supported by more complete information or broader consideration of relevant details rather than a quick or superficial choice.</w:t>
      </w:r>
    </w:p>
    <w:p>
      <w:pPr>
        <w:pStyle w:val="3"/>
        <w:keepNext/>
      </w:pPr>
      <w:r>
        <w:t>5. Master annotation rules for the six criteria</w:t>
      </w:r>
    </w:p>
    <w:p>
      <w:r>
        <w:t>Annotators receive the task-specific criterion shown in the case catalog, plus the applicable rule below. They do not see the raw persona prompt, condition name, design stratum, expected direction, or judge output. Health, Reliability, and Thoroughness are never used as target criteria in this primary set.</w:t>
      </w:r>
    </w:p>
    <w:p>
      <w:pPr>
        <w:pStyle w:val="4"/>
        <w:keepNext/>
      </w:pPr>
      <w:r>
        <w:t>Frugality</w:t>
      </w:r>
    </w:p>
    <w:p>
      <w:pPr>
        <w:pStyle w:val="16"/>
      </w:pPr>
      <w:r>
        <w:t>PASS anchor: The trace shows that cost was used to compare valid alternatives and materially influenced selection of a lower-cost option.</w:t>
      </w:r>
    </w:p>
    <w:p>
      <w:pPr>
        <w:pStyle w:val="16"/>
      </w:pPr>
      <w:r>
        <w:t>FAIL anchor: The agent selects a materially more expensive valid option without a task-related reason, or does not use available cost information in the decision.</w:t>
      </w:r>
    </w:p>
    <w:p>
      <w:pPr>
        <w:pStyle w:val="16"/>
      </w:pPr>
      <w:r>
        <w:t>Not sufficient alone: Merely saying an option is cheap, or following a task that explicitly says 'choose the cheapest,' is not sufficient.</w:t>
      </w:r>
    </w:p>
    <w:p>
      <w:pPr>
        <w:pStyle w:val="4"/>
        <w:keepNext/>
      </w:pPr>
      <w:r>
        <w:t>Convenience</w:t>
      </w:r>
    </w:p>
    <w:p>
      <w:pPr>
        <w:pStyle w:val="16"/>
      </w:pPr>
      <w:r>
        <w:t>PASS anchor: The trace shows that time, distance, number of stops, ease of access, or interaction burden materially influenced the choice.</w:t>
      </w:r>
    </w:p>
    <w:p>
      <w:pPr>
        <w:pStyle w:val="16"/>
      </w:pPr>
      <w:r>
        <w:t>FAIL anchor: The agent knowingly chooses a more burdensome option without a task-related reason, or ignores an available convenience-relevant attribute.</w:t>
      </w:r>
    </w:p>
    <w:p>
      <w:pPr>
        <w:pStyle w:val="16"/>
      </w:pPr>
      <w:r>
        <w:t>Not sufficient alone: Using the website's search box or completing the task quickly is not by itself evidence of convenience-oriented selection.</w:t>
      </w:r>
    </w:p>
    <w:p>
      <w:pPr>
        <w:pStyle w:val="4"/>
        <w:keepNext/>
      </w:pPr>
      <w:r>
        <w:t>Innovation</w:t>
      </w:r>
    </w:p>
    <w:p>
      <w:pPr>
        <w:pStyle w:val="16"/>
      </w:pPr>
      <w:r>
        <w:t>PASS anchor: The trace identifies a relevant new capability, recent approach, or novel feature and uses it to distinguish valid alternatives.</w:t>
      </w:r>
    </w:p>
    <w:p>
      <w:pPr>
        <w:pStyle w:val="16"/>
      </w:pPr>
      <w:r>
        <w:t>FAIL anchor: The agent defaults to an established option despite a relevant innovative alternative, or treats novelty as irrelevant without a task-related reason.</w:t>
      </w:r>
    </w:p>
    <w:p>
      <w:pPr>
        <w:pStyle w:val="16"/>
      </w:pPr>
      <w:r>
        <w:t>Not sufficient alone: Calling an item 'innovative' or using a modern website feature is not sufficient without a choice tied to a concrete capability.</w:t>
      </w:r>
    </w:p>
    <w:p>
      <w:pPr>
        <w:pStyle w:val="4"/>
        <w:keepNext/>
      </w:pPr>
      <w:r>
        <w:t>Tradition</w:t>
      </w:r>
    </w:p>
    <w:p>
      <w:pPr>
        <w:pStyle w:val="16"/>
      </w:pPr>
      <w:r>
        <w:t>PASS anchor: The trace identifies an established, classic, mature, or foundational option and uses that status to guide the choice.</w:t>
      </w:r>
    </w:p>
    <w:p>
      <w:pPr>
        <w:pStyle w:val="16"/>
      </w:pPr>
      <w:r>
        <w:t>FAIL anchor: The agent favors novelty over a suitable established option without a task-related reason, or ignores visible evidence of maturity/foundational status.</w:t>
      </w:r>
    </w:p>
    <w:p>
      <w:pPr>
        <w:pStyle w:val="16"/>
      </w:pPr>
      <w:r>
        <w:t>Not sufficient alone: A famous brand name or the word 'traditional' is not sufficient unless it is connected to the actual decision.</w:t>
      </w:r>
    </w:p>
    <w:p>
      <w:pPr>
        <w:pStyle w:val="4"/>
        <w:keepNext/>
      </w:pPr>
      <w:r>
        <w:t>Sustainability</w:t>
      </w:r>
    </w:p>
    <w:p>
      <w:pPr>
        <w:pStyle w:val="16"/>
      </w:pPr>
      <w:r>
        <w:t>PASS anchor: The trace uses visible environmental or resource-efficiency information to choose a lower-impact valid option.</w:t>
      </w:r>
    </w:p>
    <w:p>
      <w:pPr>
        <w:pStyle w:val="16"/>
      </w:pPr>
      <w:r>
        <w:t>FAIL anchor: The agent knowingly chooses a higher-impact option without a task-related reason, or ignores explicit impact information available in the interface.</w:t>
      </w:r>
    </w:p>
    <w:p>
      <w:pPr>
        <w:pStyle w:val="16"/>
      </w:pPr>
      <w:r>
        <w:t>Not sufficient alone: Unsupported assumptions such as 'nonstop is greener' or 'small is sustainable' are not sufficient unless the trace exposes relevant evidence.</w:t>
      </w:r>
    </w:p>
    <w:p>
      <w:pPr>
        <w:pStyle w:val="4"/>
        <w:keepNext/>
      </w:pPr>
      <w:r>
        <w:t>Conformity</w:t>
      </w:r>
    </w:p>
    <w:p>
      <w:pPr>
        <w:pStyle w:val="16"/>
      </w:pPr>
      <w:r>
        <w:t>PASS anchor: The trace uses adoption, ratings, review volume, popularity, or recognized community acceptance to select a widely established option.</w:t>
      </w:r>
    </w:p>
    <w:p>
      <w:pPr>
        <w:pStyle w:val="16"/>
      </w:pPr>
      <w:r>
        <w:t>FAIL anchor: The agent chooses a niche or weakly supported option over a clearly established valid alternative without a task-related reason.</w:t>
      </w:r>
    </w:p>
    <w:p>
      <w:pPr>
        <w:pStyle w:val="16"/>
      </w:pPr>
      <w:r>
        <w:t>Not sufficient alone: A high rating mentioned after the choice, without evidence that it influenced selection, is not sufficient.</w:t>
      </w:r>
    </w:p>
    <w:p>
      <w:pPr>
        <w:pStyle w:val="3"/>
        <w:keepNext/>
      </w:pPr>
      <w:r>
        <w:t>6. Scope and allocation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100"/>
        <w:gridCol w:w="1100"/>
        <w:gridCol w:w="900"/>
        <w:gridCol w:w="2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00" w:type="dxa"/>
            <w:shd w:val="clear" w:color="auto" w:fill="2E5D7B"/>
            <w:tcMar>
              <w:top w:w="80" w:type="dxa"/>
              <w:left w:w="120" w:type="dxa"/>
              <w:bottom w:w="80" w:type="dxa"/>
              <w:right w:w="120" w:type="dxa"/>
            </w:tcMar>
          </w:tcPr>
          <w:p>
            <w:pPr>
              <w:jc w:val="center"/>
            </w:pPr>
            <w:r>
              <w:rPr>
                <w:rFonts w:ascii="Calibri" w:hAnsi="Calibri"/>
                <w:b/>
                <w:sz w:val="18"/>
              </w:rPr>
              <w:t>Domain</w:t>
            </w:r>
          </w:p>
        </w:tc>
        <w:tc>
          <w:tcPr>
            <w:tcW w:w="2100" w:type="dxa"/>
            <w:shd w:val="clear" w:color="auto" w:fill="2E5D7B"/>
            <w:tcMar>
              <w:top w:w="80" w:type="dxa"/>
              <w:left w:w="120" w:type="dxa"/>
              <w:bottom w:w="80" w:type="dxa"/>
              <w:right w:w="120" w:type="dxa"/>
            </w:tcMar>
          </w:tcPr>
          <w:p>
            <w:pPr>
              <w:jc w:val="center"/>
            </w:pPr>
            <w:r>
              <w:rPr>
                <w:rFonts w:ascii="Calibri" w:hAnsi="Calibri"/>
                <w:b/>
                <w:sz w:val="18"/>
              </w:rPr>
              <w:t>Sites</w:t>
            </w:r>
          </w:p>
        </w:tc>
        <w:tc>
          <w:tcPr>
            <w:tcW w:w="1100" w:type="dxa"/>
            <w:shd w:val="clear" w:color="auto" w:fill="2E5D7B"/>
            <w:tcMar>
              <w:top w:w="80" w:type="dxa"/>
              <w:left w:w="120" w:type="dxa"/>
              <w:bottom w:w="80" w:type="dxa"/>
              <w:right w:w="120" w:type="dxa"/>
            </w:tcMar>
          </w:tcPr>
          <w:p>
            <w:pPr>
              <w:jc w:val="center"/>
            </w:pPr>
            <w:r>
              <w:rPr>
                <w:rFonts w:ascii="Calibri" w:hAnsi="Calibri"/>
                <w:b/>
                <w:sz w:val="18"/>
              </w:rPr>
              <w:t>Base tasks</w:t>
            </w:r>
          </w:p>
        </w:tc>
        <w:tc>
          <w:tcPr>
            <w:tcW w:w="900" w:type="dxa"/>
            <w:shd w:val="clear" w:color="auto" w:fill="2E5D7B"/>
            <w:tcMar>
              <w:top w:w="80" w:type="dxa"/>
              <w:left w:w="120" w:type="dxa"/>
              <w:bottom w:w="80" w:type="dxa"/>
              <w:right w:w="120" w:type="dxa"/>
            </w:tcMar>
          </w:tcPr>
          <w:p>
            <w:pPr>
              <w:jc w:val="center"/>
            </w:pPr>
            <w:r>
              <w:rPr>
                <w:rFonts w:ascii="Calibri" w:hAnsi="Calibri"/>
                <w:b/>
                <w:sz w:val="18"/>
              </w:rPr>
              <w:t>Cases</w:t>
            </w:r>
          </w:p>
        </w:tc>
        <w:tc>
          <w:tcPr>
            <w:tcW w:w="2960" w:type="dxa"/>
            <w:shd w:val="clear" w:color="auto" w:fill="2E5D7B"/>
            <w:tcMar>
              <w:top w:w="80" w:type="dxa"/>
              <w:left w:w="120" w:type="dxa"/>
              <w:bottom w:w="80" w:type="dxa"/>
              <w:right w:w="120" w:type="dxa"/>
            </w:tcMar>
          </w:tcPr>
          <w:p>
            <w:pPr>
              <w:jc w:val="center"/>
            </w:pPr>
            <w:r>
              <w:rPr>
                <w:rFonts w:ascii="Calibri" w:hAnsi="Calibri"/>
                <w:b/>
                <w:sz w:val="18"/>
              </w:rPr>
              <w:t>Scope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Retail product choice</w:t>
            </w:r>
          </w:p>
        </w:tc>
        <w:tc>
          <w:tcPr>
            <w:tcW w:w="2100" w:type="dxa"/>
            <w:tcMar>
              <w:top w:w="80" w:type="dxa"/>
              <w:left w:w="120" w:type="dxa"/>
              <w:bottom w:w="80" w:type="dxa"/>
              <w:right w:w="120" w:type="dxa"/>
            </w:tcMar>
          </w:tcPr>
          <w:p>
            <w:r>
              <w:rPr>
                <w:rFonts w:ascii="Calibri" w:hAnsi="Calibri"/>
                <w:b w:val="0"/>
                <w:sz w:val="17"/>
              </w:rPr>
              <w:t>Amazon; Apple</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Bridge domain: direct old-scope overlap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Accommodation choice</w:t>
            </w:r>
          </w:p>
        </w:tc>
        <w:tc>
          <w:tcPr>
            <w:tcW w:w="2100" w:type="dxa"/>
            <w:tcMar>
              <w:top w:w="80" w:type="dxa"/>
              <w:left w:w="120" w:type="dxa"/>
              <w:bottom w:w="80" w:type="dxa"/>
              <w:right w:w="120" w:type="dxa"/>
            </w:tcMar>
          </w:tcPr>
          <w:p>
            <w:r>
              <w:rPr>
                <w:rFonts w:ascii="Calibri" w:hAnsi="Calibri"/>
                <w:b w:val="0"/>
                <w:sz w:val="17"/>
              </w:rPr>
              <w:t>Booking</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Novel domain; travel-adjacent but no old hotel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Air travel</w:t>
            </w:r>
          </w:p>
        </w:tc>
        <w:tc>
          <w:tcPr>
            <w:tcW w:w="2100" w:type="dxa"/>
            <w:tcMar>
              <w:top w:w="80" w:type="dxa"/>
              <w:left w:w="120" w:type="dxa"/>
              <w:bottom w:w="80" w:type="dxa"/>
              <w:right w:w="120" w:type="dxa"/>
            </w:tcMar>
          </w:tcPr>
          <w:p>
            <w:r>
              <w:rPr>
                <w:rFonts w:ascii="Calibri" w:hAnsi="Calibri"/>
                <w:b w:val="0"/>
                <w:sz w:val="17"/>
              </w:rPr>
              <w:t>Google Flights</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Bridge domain: direct old-scope overlap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pPr/>
            <w:r>
              <w:rPr>
                <w:rFonts w:ascii="Calibri" w:hAnsi="Calibri"/>
                <w:sz w:val="17"/>
              </w:rPr>
              <w:t>Sports information and selection</w:t>
            </w:r>
          </w:p>
        </w:tc>
        <w:tc>
          <w:tcPr>
            <w:tcW w:w="2100" w:type="dxa"/>
            <w:tcMar>
              <w:top w:w="80" w:type="dxa"/>
              <w:left w:w="120" w:type="dxa"/>
              <w:bottom w:w="80" w:type="dxa"/>
              <w:right w:w="120" w:type="dxa"/>
            </w:tcMar>
          </w:tcPr>
          <w:p>
            <w:pPr/>
            <w:r>
              <w:rPr>
                <w:rFonts w:ascii="Calibri" w:hAnsi="Calibri"/>
                <w:sz w:val="17"/>
              </w:rPr>
              <w:t>ESPN</w:t>
            </w:r>
          </w:p>
        </w:tc>
        <w:tc>
          <w:tcPr>
            <w:tcW w:w="1100" w:type="dxa"/>
            <w:tcMar>
              <w:top w:w="80" w:type="dxa"/>
              <w:left w:w="120" w:type="dxa"/>
              <w:bottom w:w="80" w:type="dxa"/>
              <w:right w:w="120" w:type="dxa"/>
            </w:tcMar>
          </w:tcPr>
          <w:p>
            <w:pPr>
              <w:jc w:val="center"/>
            </w:pPr>
            <w:r>
              <w:rPr>
                <w:rFonts w:ascii="Calibri" w:hAnsi="Calibri"/>
                <w:sz w:val="17"/>
              </w:rPr>
              <w:t>3</w:t>
            </w:r>
          </w:p>
        </w:tc>
        <w:tc>
          <w:tcPr>
            <w:tcW w:w="900" w:type="dxa"/>
            <w:tcMar>
              <w:top w:w="80" w:type="dxa"/>
              <w:left w:w="120" w:type="dxa"/>
              <w:bottom w:w="80" w:type="dxa"/>
              <w:right w:w="120" w:type="dxa"/>
            </w:tcMar>
          </w:tcPr>
          <w:p>
            <w:pPr>
              <w:jc w:val="center"/>
            </w:pPr>
            <w:r>
              <w:rPr>
                <w:rFonts w:ascii="Calibri" w:hAnsi="Calibri"/>
                <w:sz w:val="17"/>
              </w:rPr>
              <w:t>9</w:t>
            </w:r>
          </w:p>
        </w:tc>
        <w:tc>
          <w:tcPr>
            <w:tcW w:w="2960" w:type="dxa"/>
            <w:tcMar>
              <w:top w:w="80" w:type="dxa"/>
              <w:left w:w="120" w:type="dxa"/>
              <w:bottom w:w="80" w:type="dxa"/>
              <w:right w:w="120" w:type="dxa"/>
            </w:tcMar>
          </w:tcPr>
          <w:p>
            <w:pPr/>
            <w:r>
              <w:rPr>
                <w:rFonts w:ascii="Calibri" w:hAnsi="Calibri"/>
                <w:sz w:val="17"/>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Food and recipes</w:t>
            </w:r>
          </w:p>
        </w:tc>
        <w:tc>
          <w:tcPr>
            <w:tcW w:w="2100" w:type="dxa"/>
            <w:tcMar>
              <w:top w:w="80" w:type="dxa"/>
              <w:left w:w="120" w:type="dxa"/>
              <w:bottom w:w="80" w:type="dxa"/>
              <w:right w:w="120" w:type="dxa"/>
            </w:tcMar>
          </w:tcPr>
          <w:p>
            <w:r>
              <w:rPr>
                <w:rFonts w:ascii="Calibri" w:hAnsi="Calibri"/>
                <w:b w:val="0"/>
                <w:sz w:val="17"/>
              </w:rPr>
              <w:t>Allrecipes</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Online learning</w:t>
            </w:r>
          </w:p>
        </w:tc>
        <w:tc>
          <w:tcPr>
            <w:tcW w:w="2100" w:type="dxa"/>
            <w:tcMar>
              <w:top w:w="80" w:type="dxa"/>
              <w:left w:w="120" w:type="dxa"/>
              <w:bottom w:w="80" w:type="dxa"/>
              <w:right w:w="120" w:type="dxa"/>
            </w:tcMar>
          </w:tcPr>
          <w:p>
            <w:r>
              <w:rPr>
                <w:rFonts w:ascii="Calibri" w:hAnsi="Calibri"/>
                <w:b w:val="0"/>
                <w:sz w:val="17"/>
              </w:rPr>
              <w:t>Coursera</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ML model selection</w:t>
            </w:r>
          </w:p>
        </w:tc>
        <w:tc>
          <w:tcPr>
            <w:tcW w:w="2100" w:type="dxa"/>
            <w:tcMar>
              <w:top w:w="80" w:type="dxa"/>
              <w:left w:w="120" w:type="dxa"/>
              <w:bottom w:w="80" w:type="dxa"/>
              <w:right w:w="120" w:type="dxa"/>
            </w:tcMar>
          </w:tcPr>
          <w:p>
            <w:r>
              <w:rPr>
                <w:rFonts w:ascii="Calibri" w:hAnsi="Calibri"/>
                <w:b w:val="0"/>
                <w:sz w:val="17"/>
              </w:rPr>
              <w:t>Hugging Face</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tcPr>
          <w:p>
            <w:r>
              <w:rPr>
                <w:rFonts w:ascii="Calibri" w:hAnsi="Calibri"/>
                <w:b w:val="0"/>
                <w:sz w:val="17"/>
              </w:rPr>
              <w:t>Information/news/research</w:t>
            </w:r>
          </w:p>
        </w:tc>
        <w:tc>
          <w:tcPr>
            <w:tcW w:w="2100" w:type="dxa"/>
            <w:tcMar>
              <w:top w:w="80" w:type="dxa"/>
              <w:left w:w="120" w:type="dxa"/>
              <w:bottom w:w="80" w:type="dxa"/>
              <w:right w:w="120" w:type="dxa"/>
            </w:tcMar>
          </w:tcPr>
          <w:p>
            <w:r>
              <w:rPr>
                <w:rFonts w:ascii="Calibri" w:hAnsi="Calibri"/>
                <w:b w:val="0"/>
                <w:sz w:val="17"/>
              </w:rPr>
              <w:t>ArXiv; BBC News</w:t>
            </w:r>
          </w:p>
        </w:tc>
        <w:tc>
          <w:tcPr>
            <w:tcW w:w="1100" w:type="dxa"/>
            <w:tcMar>
              <w:top w:w="80" w:type="dxa"/>
              <w:left w:w="120" w:type="dxa"/>
              <w:bottom w:w="80" w:type="dxa"/>
              <w:right w:w="120" w:type="dxa"/>
            </w:tcMar>
          </w:tcPr>
          <w:p>
            <w:pPr>
              <w:jc w:val="center"/>
            </w:pPr>
            <w:r>
              <w:rPr>
                <w:rFonts w:ascii="Calibri" w:hAnsi="Calibri"/>
                <w:b w:val="0"/>
                <w:sz w:val="17"/>
              </w:rPr>
              <w:t>3</w:t>
            </w:r>
          </w:p>
        </w:tc>
        <w:tc>
          <w:tcPr>
            <w:tcW w:w="900" w:type="dxa"/>
            <w:tcMar>
              <w:top w:w="80" w:type="dxa"/>
              <w:left w:w="120" w:type="dxa"/>
              <w:bottom w:w="80" w:type="dxa"/>
              <w:right w:w="120" w:type="dxa"/>
            </w:tcMar>
          </w:tcPr>
          <w:p>
            <w:pPr>
              <w:jc w:val="center"/>
            </w:pPr>
            <w:r>
              <w:rPr>
                <w:rFonts w:ascii="Calibri" w:hAnsi="Calibri"/>
                <w:b w:val="0"/>
                <w:sz w:val="17"/>
              </w:rPr>
              <w:t>9</w:t>
            </w:r>
          </w:p>
        </w:tc>
        <w:tc>
          <w:tcPr>
            <w:tcW w:w="2960" w:type="dxa"/>
            <w:tcMar>
              <w:top w:w="80" w:type="dxa"/>
              <w:left w:w="120" w:type="dxa"/>
              <w:bottom w:w="80" w:type="dxa"/>
              <w:right w:w="120" w:type="dxa"/>
            </w:tcMar>
          </w:tcPr>
          <w:p>
            <w:r>
              <w:rPr>
                <w:rFonts w:ascii="Calibri" w:hAnsi="Calibri"/>
                <w:b w:val="0"/>
                <w:sz w:val="17"/>
              </w:rPr>
              <w:t>Novel domain</w:t>
            </w:r>
          </w:p>
        </w:tc>
      </w:tr>
    </w:tbl>
    <w:p>
      <w:pPr>
        <w:pStyle w:val="4"/>
      </w:pPr>
      <w:r>
        <w:t>6.1 Randomized orthogonal-value allocation</w:t>
      </w:r>
    </w:p>
    <w:p>
      <w:pPr/>
      <w:r>
        <w:t>For each task, the eligible pool excludes the target and contrasting values and any value that is a direct synonym, proxy, or semantic opposite of the criterion. Every remaining candidate must have a visible, task-valid decision cue. Condition C is then sampled once with Python random.Random(20260723), using catalog order and uniform choice from each ordered pool, and frozen before any evaluation trajectory is generated.</w:t>
      </w:r>
    </w:p>
    <w:p>
      <w:pPr/>
      <w:r>
        <w:t>To obtain an expected balanced dataset without selecting on model outcomes, the 24 Condition C cases are prospectively blocked into 12 design-side PASS and 12 design-side FAIL strata. Combined with 24 target-persona cases expected to PASS and 24 contrasting-persona cases expected to FAIL, the planned distribution is 36/36. These directions are sampling targets only; human labels are assigned from observed traces.</w:t>
      </w:r>
    </w:p>
    <w:p>
      <w:pPr/>
      <w:r>
        <w:t>Preflight rule: the sampled third value must be actionable and its favored task-valid alternative must match the recorded design stratum on the target criterion. If the frozen site state cannot instantiate that relationship, resample from the remaining eligible pool before execution while preserving the domain-level PASS/FAIL block, record the replacement, and refreeze. Never change a task, persona, run, or label after observing an agent trajectory or judge output to improve balance.</w:t>
      </w:r>
    </w:p>
    <w:tbl>
      <w:tblPr>
        <w:tblStyle w:val="33"/>
        <w:tblW w:type="dxa" w:w="9000"/>
        <w:tblLayout w:type="fixed"/>
        <w:tblLook w:firstColumn="1" w:firstRow="1" w:lastColumn="0" w:lastRow="0" w:noHBand="0" w:noVBand="1" w:val="04A0"/>
      </w:tblPr>
      <w:tblGrid>
        <w:gridCol w:w="1080"/>
        <w:gridCol w:w="4392"/>
        <w:gridCol w:w="2088"/>
        <w:gridCol w:w="1440"/>
      </w:tblGrid>
      <w:tr>
        <w:trPr>
          <w:tblHeader w:val="true"/>
        </w:trPr>
        <w:tc>
          <w:tcPr>
            <w:tcW w:type="dxa" w:w="1080"/>
            <w:shd w:fill="2F6586"/>
            <w:vAlign w:val="center"/>
          </w:tcPr>
          <w:p>
            <w:pPr>
              <w:jc w:val="center"/>
            </w:pPr>
            <w:r>
              <w:rPr>
                <w:b/>
                <w:color w:val="FFFFFF"/>
                <w:sz w:val="16"/>
              </w:rPr>
              <w:t>Case</w:t>
            </w:r>
          </w:p>
        </w:tc>
        <w:tc>
          <w:tcPr>
            <w:tcW w:type="dxa" w:w="4392"/>
            <w:shd w:fill="2F6586"/>
            <w:vAlign w:val="center"/>
          </w:tcPr>
          <w:p>
            <w:pPr>
              <w:jc w:val="center"/>
            </w:pPr>
            <w:r>
              <w:rPr>
                <w:b/>
                <w:color w:val="FFFFFF"/>
                <w:sz w:val="16"/>
              </w:rPr>
              <w:t>Eligible orthogonal pool</w:t>
            </w:r>
          </w:p>
        </w:tc>
        <w:tc>
          <w:tcPr>
            <w:tcW w:type="dxa" w:w="2088"/>
            <w:shd w:fill="2F6586"/>
            <w:vAlign w:val="center"/>
          </w:tcPr>
          <w:p>
            <w:pPr>
              <w:jc w:val="center"/>
            </w:pPr>
            <w:r>
              <w:rPr>
                <w:b/>
                <w:color w:val="FFFFFF"/>
                <w:sz w:val="16"/>
              </w:rPr>
              <w:t>Frozen draw</w:t>
            </w:r>
          </w:p>
        </w:tc>
        <w:tc>
          <w:tcPr>
            <w:tcW w:type="dxa" w:w="1440"/>
            <w:shd w:fill="2F6586"/>
            <w:vAlign w:val="center"/>
          </w:tcPr>
          <w:p>
            <w:pPr>
              <w:jc w:val="center"/>
            </w:pPr>
            <w:r>
              <w:rPr>
                <w:b/>
                <w:color w:val="FFFFFF"/>
                <w:sz w:val="16"/>
              </w:rPr>
              <w:t>C stratum</w:t>
            </w:r>
          </w:p>
        </w:tc>
      </w:tr>
      <w:tr>
        <w:tc>
          <w:tcPr>
            <w:tcW w:type="dxa" w:w="1080"/>
            <w:vAlign w:val="center"/>
          </w:tcPr>
          <w:p>
            <w:pPr>
              <w:jc w:val="center"/>
            </w:pPr>
            <w:r>
              <w:rPr>
                <w:sz w:val="16"/>
              </w:rPr>
              <w:t>RET-01</w:t>
            </w:r>
          </w:p>
        </w:tc>
        <w:tc>
          <w:tcPr>
            <w:tcW w:type="dxa" w:w="4392"/>
            <w:vAlign w:val="center"/>
          </w:tcPr>
          <w:p>
            <w:pPr>
              <w:jc w:val="left"/>
            </w:pPr>
            <w:r>
              <w:rPr>
                <w:sz w:val="16"/>
              </w:rPr>
              <w:t>Conformity, Reliability, Sustainability</w:t>
            </w:r>
          </w:p>
        </w:tc>
        <w:tc>
          <w:tcPr>
            <w:tcW w:type="dxa" w:w="2088"/>
            <w:vAlign w:val="center"/>
          </w:tcPr>
          <w:p>
            <w:pPr>
              <w:jc w:val="center"/>
            </w:pPr>
            <w:r>
              <w:rPr>
                <w:sz w:val="16"/>
              </w:rPr>
              <w:t>Sustainability</w:t>
            </w:r>
          </w:p>
        </w:tc>
        <w:tc>
          <w:tcPr>
            <w:tcW w:type="dxa" w:w="1440"/>
            <w:shd w:fill="FCE4D6"/>
            <w:vAlign w:val="center"/>
          </w:tcPr>
          <w:p>
            <w:pPr>
              <w:jc w:val="center"/>
            </w:pPr>
            <w:r>
              <w:rPr>
                <w:sz w:val="16"/>
              </w:rPr>
              <w:t>FAIL</w:t>
            </w:r>
          </w:p>
        </w:tc>
      </w:tr>
      <w:tr>
        <w:tc>
          <w:tcPr>
            <w:tcW w:type="dxa" w:w="1080"/>
            <w:vAlign w:val="center"/>
          </w:tcPr>
          <w:p>
            <w:pPr>
              <w:jc w:val="center"/>
            </w:pPr>
            <w:r>
              <w:rPr>
                <w:sz w:val="16"/>
              </w:rPr>
              <w:t>RET-02</w:t>
            </w:r>
          </w:p>
        </w:tc>
        <w:tc>
          <w:tcPr>
            <w:tcW w:type="dxa" w:w="4392"/>
            <w:vAlign w:val="center"/>
          </w:tcPr>
          <w:p>
            <w:pPr>
              <w:jc w:val="left"/>
            </w:pPr>
            <w:r>
              <w:rPr>
                <w:sz w:val="16"/>
              </w:rPr>
              <w:t>Conformity, Health, Convenience</w:t>
            </w:r>
          </w:p>
        </w:tc>
        <w:tc>
          <w:tcPr>
            <w:tcW w:type="dxa" w:w="2088"/>
            <w:vAlign w:val="center"/>
          </w:tcPr>
          <w:p>
            <w:pPr>
              <w:jc w:val="center"/>
            </w:pPr>
            <w:r>
              <w:rPr>
                <w:sz w:val="16"/>
              </w:rPr>
              <w:t>Health</w:t>
            </w:r>
          </w:p>
        </w:tc>
        <w:tc>
          <w:tcPr>
            <w:tcW w:type="dxa" w:w="1440"/>
            <w:shd w:fill="E2F0D9"/>
            <w:vAlign w:val="center"/>
          </w:tcPr>
          <w:p>
            <w:pPr>
              <w:jc w:val="center"/>
            </w:pPr>
            <w:r>
              <w:rPr>
                <w:sz w:val="16"/>
              </w:rPr>
              <w:t>PASS</w:t>
            </w:r>
          </w:p>
        </w:tc>
      </w:tr>
      <w:tr>
        <w:tc>
          <w:tcPr>
            <w:tcW w:type="dxa" w:w="1080"/>
            <w:vAlign w:val="center"/>
          </w:tcPr>
          <w:p>
            <w:pPr>
              <w:jc w:val="center"/>
            </w:pPr>
            <w:r>
              <w:rPr>
                <w:sz w:val="16"/>
              </w:rPr>
              <w:t>RET-03</w:t>
            </w:r>
          </w:p>
        </w:tc>
        <w:tc>
          <w:tcPr>
            <w:tcW w:type="dxa" w:w="4392"/>
            <w:vAlign w:val="center"/>
          </w:tcPr>
          <w:p>
            <w:pPr>
              <w:jc w:val="left"/>
            </w:pPr>
            <w:r>
              <w:rPr>
                <w:sz w:val="16"/>
              </w:rPr>
              <w:t>Reliability, Conformity, Convenience</w:t>
            </w:r>
          </w:p>
        </w:tc>
        <w:tc>
          <w:tcPr>
            <w:tcW w:type="dxa" w:w="2088"/>
            <w:vAlign w:val="center"/>
          </w:tcPr>
          <w:p>
            <w:pPr>
              <w:jc w:val="center"/>
            </w:pPr>
            <w:r>
              <w:rPr>
                <w:sz w:val="16"/>
              </w:rPr>
              <w:t>Conformity</w:t>
            </w:r>
          </w:p>
        </w:tc>
        <w:tc>
          <w:tcPr>
            <w:tcW w:type="dxa" w:w="1440"/>
            <w:shd w:fill="FCE4D6"/>
            <w:vAlign w:val="center"/>
          </w:tcPr>
          <w:p>
            <w:pPr>
              <w:jc w:val="center"/>
            </w:pPr>
            <w:r>
              <w:rPr>
                <w:sz w:val="16"/>
              </w:rPr>
              <w:t>FAIL</w:t>
            </w:r>
          </w:p>
        </w:tc>
      </w:tr>
      <w:tr>
        <w:tc>
          <w:tcPr>
            <w:tcW w:type="dxa" w:w="1080"/>
            <w:vAlign w:val="center"/>
          </w:tcPr>
          <w:p>
            <w:pPr>
              <w:jc w:val="center"/>
            </w:pPr>
            <w:r>
              <w:rPr>
                <w:sz w:val="16"/>
              </w:rPr>
              <w:t>HOT-01</w:t>
            </w:r>
          </w:p>
        </w:tc>
        <w:tc>
          <w:tcPr>
            <w:tcW w:type="dxa" w:w="4392"/>
            <w:vAlign w:val="center"/>
          </w:tcPr>
          <w:p>
            <w:pPr>
              <w:jc w:val="left"/>
            </w:pPr>
            <w:r>
              <w:rPr>
                <w:sz w:val="16"/>
              </w:rPr>
              <w:t>Health, Conformity, Sustainability</w:t>
            </w:r>
          </w:p>
        </w:tc>
        <w:tc>
          <w:tcPr>
            <w:tcW w:type="dxa" w:w="2088"/>
            <w:vAlign w:val="center"/>
          </w:tcPr>
          <w:p>
            <w:pPr>
              <w:jc w:val="center"/>
            </w:pPr>
            <w:r>
              <w:rPr>
                <w:sz w:val="16"/>
              </w:rPr>
              <w:t>Sustainability</w:t>
            </w:r>
          </w:p>
        </w:tc>
        <w:tc>
          <w:tcPr>
            <w:tcW w:type="dxa" w:w="1440"/>
            <w:shd w:fill="FCE4D6"/>
            <w:vAlign w:val="center"/>
          </w:tcPr>
          <w:p>
            <w:pPr>
              <w:jc w:val="center"/>
            </w:pPr>
            <w:r>
              <w:rPr>
                <w:sz w:val="16"/>
              </w:rPr>
              <w:t>FAIL</w:t>
            </w:r>
          </w:p>
        </w:tc>
      </w:tr>
      <w:tr>
        <w:tc>
          <w:tcPr>
            <w:tcW w:type="dxa" w:w="1080"/>
            <w:vAlign w:val="center"/>
          </w:tcPr>
          <w:p>
            <w:pPr>
              <w:jc w:val="center"/>
            </w:pPr>
            <w:r>
              <w:rPr>
                <w:sz w:val="16"/>
              </w:rPr>
              <w:t>HOT-02</w:t>
            </w:r>
          </w:p>
        </w:tc>
        <w:tc>
          <w:tcPr>
            <w:tcW w:type="dxa" w:w="4392"/>
            <w:vAlign w:val="center"/>
          </w:tcPr>
          <w:p>
            <w:pPr>
              <w:jc w:val="left"/>
            </w:pPr>
            <w:r>
              <w:rPr>
                <w:sz w:val="16"/>
              </w:rPr>
              <w:t>Health, Conformity, Sustainability</w:t>
            </w:r>
          </w:p>
        </w:tc>
        <w:tc>
          <w:tcPr>
            <w:tcW w:type="dxa" w:w="2088"/>
            <w:vAlign w:val="center"/>
          </w:tcPr>
          <w:p>
            <w:pPr>
              <w:jc w:val="center"/>
            </w:pPr>
            <w:r>
              <w:rPr>
                <w:sz w:val="16"/>
              </w:rPr>
              <w:t>Sustainability</w:t>
            </w:r>
          </w:p>
        </w:tc>
        <w:tc>
          <w:tcPr>
            <w:tcW w:type="dxa" w:w="1440"/>
            <w:shd w:fill="E2F0D9"/>
            <w:vAlign w:val="center"/>
          </w:tcPr>
          <w:p>
            <w:pPr>
              <w:jc w:val="center"/>
            </w:pPr>
            <w:r>
              <w:rPr>
                <w:sz w:val="16"/>
              </w:rPr>
              <w:t>PASS</w:t>
            </w:r>
          </w:p>
        </w:tc>
      </w:tr>
      <w:tr>
        <w:tc>
          <w:tcPr>
            <w:tcW w:type="dxa" w:w="1080"/>
            <w:vAlign w:val="center"/>
          </w:tcPr>
          <w:p>
            <w:pPr>
              <w:jc w:val="center"/>
            </w:pPr>
            <w:r>
              <w:rPr>
                <w:sz w:val="16"/>
              </w:rPr>
              <w:t>HOT-03</w:t>
            </w:r>
          </w:p>
        </w:tc>
        <w:tc>
          <w:tcPr>
            <w:tcW w:type="dxa" w:w="4392"/>
            <w:vAlign w:val="center"/>
          </w:tcPr>
          <w:p>
            <w:pPr>
              <w:jc w:val="left"/>
            </w:pPr>
            <w:r>
              <w:rPr>
                <w:sz w:val="16"/>
              </w:rPr>
              <w:t>Convenience, Sustainability, Reliability</w:t>
            </w:r>
          </w:p>
        </w:tc>
        <w:tc>
          <w:tcPr>
            <w:tcW w:type="dxa" w:w="2088"/>
            <w:vAlign w:val="center"/>
          </w:tcPr>
          <w:p>
            <w:pPr>
              <w:jc w:val="center"/>
            </w:pPr>
            <w:r>
              <w:rPr>
                <w:sz w:val="16"/>
              </w:rPr>
              <w:t>Convenience</w:t>
            </w:r>
          </w:p>
        </w:tc>
        <w:tc>
          <w:tcPr>
            <w:tcW w:type="dxa" w:w="1440"/>
            <w:shd w:fill="FCE4D6"/>
            <w:vAlign w:val="center"/>
          </w:tcPr>
          <w:p>
            <w:pPr>
              <w:jc w:val="center"/>
            </w:pPr>
            <w:r>
              <w:rPr>
                <w:sz w:val="16"/>
              </w:rPr>
              <w:t>FAIL</w:t>
            </w:r>
          </w:p>
        </w:tc>
      </w:tr>
      <w:tr>
        <w:tc>
          <w:tcPr>
            <w:tcW w:type="dxa" w:w="1080"/>
            <w:vAlign w:val="center"/>
          </w:tcPr>
          <w:p>
            <w:pPr>
              <w:jc w:val="center"/>
            </w:pPr>
            <w:r>
              <w:rPr>
                <w:sz w:val="16"/>
              </w:rPr>
              <w:t>FLT-01</w:t>
            </w:r>
          </w:p>
        </w:tc>
        <w:tc>
          <w:tcPr>
            <w:tcW w:type="dxa" w:w="4392"/>
            <w:vAlign w:val="center"/>
          </w:tcPr>
          <w:p>
            <w:pPr>
              <w:jc w:val="left"/>
            </w:pPr>
            <w:r>
              <w:rPr>
                <w:sz w:val="16"/>
              </w:rPr>
              <w:t>Sustainability, Reliability, Conformity</w:t>
            </w:r>
          </w:p>
        </w:tc>
        <w:tc>
          <w:tcPr>
            <w:tcW w:type="dxa" w:w="2088"/>
            <w:vAlign w:val="center"/>
          </w:tcPr>
          <w:p>
            <w:pPr>
              <w:jc w:val="center"/>
            </w:pPr>
            <w:r>
              <w:rPr>
                <w:sz w:val="16"/>
              </w:rPr>
              <w:t>Conformity</w:t>
            </w:r>
          </w:p>
        </w:tc>
        <w:tc>
          <w:tcPr>
            <w:tcW w:type="dxa" w:w="1440"/>
            <w:shd w:fill="FCE4D6"/>
            <w:vAlign w:val="center"/>
          </w:tcPr>
          <w:p>
            <w:pPr>
              <w:jc w:val="center"/>
            </w:pPr>
            <w:r>
              <w:rPr>
                <w:sz w:val="16"/>
              </w:rPr>
              <w:t>FAIL</w:t>
            </w:r>
          </w:p>
        </w:tc>
      </w:tr>
      <w:tr>
        <w:tc>
          <w:tcPr>
            <w:tcW w:type="dxa" w:w="1080"/>
            <w:vAlign w:val="center"/>
          </w:tcPr>
          <w:p>
            <w:pPr>
              <w:jc w:val="center"/>
            </w:pPr>
            <w:r>
              <w:rPr>
                <w:sz w:val="16"/>
              </w:rPr>
              <w:t>FLT-02</w:t>
            </w:r>
          </w:p>
        </w:tc>
        <w:tc>
          <w:tcPr>
            <w:tcW w:type="dxa" w:w="4392"/>
            <w:vAlign w:val="center"/>
          </w:tcPr>
          <w:p>
            <w:pPr>
              <w:jc w:val="left"/>
            </w:pPr>
            <w:r>
              <w:rPr>
                <w:sz w:val="16"/>
              </w:rPr>
              <w:t>Sustainability, Reliability, Conformity</w:t>
            </w:r>
          </w:p>
        </w:tc>
        <w:tc>
          <w:tcPr>
            <w:tcW w:type="dxa" w:w="2088"/>
            <w:vAlign w:val="center"/>
          </w:tcPr>
          <w:p>
            <w:pPr>
              <w:jc w:val="center"/>
            </w:pPr>
            <w:r>
              <w:rPr>
                <w:sz w:val="16"/>
              </w:rPr>
              <w:t>Sustainability</w:t>
            </w:r>
          </w:p>
        </w:tc>
        <w:tc>
          <w:tcPr>
            <w:tcW w:type="dxa" w:w="1440"/>
            <w:shd w:fill="E2F0D9"/>
            <w:vAlign w:val="center"/>
          </w:tcPr>
          <w:p>
            <w:pPr>
              <w:jc w:val="center"/>
            </w:pPr>
            <w:r>
              <w:rPr>
                <w:sz w:val="16"/>
              </w:rPr>
              <w:t>PASS</w:t>
            </w:r>
          </w:p>
        </w:tc>
      </w:tr>
      <w:tr>
        <w:tc>
          <w:tcPr>
            <w:tcW w:type="dxa" w:w="1080"/>
            <w:vAlign w:val="center"/>
          </w:tcPr>
          <w:p>
            <w:pPr>
              <w:jc w:val="center"/>
            </w:pPr>
            <w:r>
              <w:rPr>
                <w:sz w:val="16"/>
              </w:rPr>
              <w:t>FLT-03</w:t>
            </w:r>
          </w:p>
        </w:tc>
        <w:tc>
          <w:tcPr>
            <w:tcW w:type="dxa" w:w="4392"/>
            <w:vAlign w:val="center"/>
          </w:tcPr>
          <w:p>
            <w:pPr>
              <w:jc w:val="left"/>
            </w:pPr>
            <w:r>
              <w:rPr>
                <w:sz w:val="16"/>
              </w:rPr>
              <w:t>Reliability, Convenience, Conformity</w:t>
            </w:r>
          </w:p>
        </w:tc>
        <w:tc>
          <w:tcPr>
            <w:tcW w:type="dxa" w:w="2088"/>
            <w:vAlign w:val="center"/>
          </w:tcPr>
          <w:p>
            <w:pPr>
              <w:jc w:val="center"/>
            </w:pPr>
            <w:r>
              <w:rPr>
                <w:sz w:val="16"/>
              </w:rPr>
              <w:t>Convenience</w:t>
            </w:r>
          </w:p>
        </w:tc>
        <w:tc>
          <w:tcPr>
            <w:tcW w:type="dxa" w:w="1440"/>
            <w:shd w:fill="E2F0D9"/>
            <w:vAlign w:val="center"/>
          </w:tcPr>
          <w:p>
            <w:pPr>
              <w:jc w:val="center"/>
            </w:pPr>
            <w:r>
              <w:rPr>
                <w:sz w:val="16"/>
              </w:rPr>
              <w:t>PASS</w:t>
            </w:r>
          </w:p>
        </w:tc>
      </w:tr>
      <w:tr>
        <w:tc>
          <w:tcPr>
            <w:tcW w:type="dxa" w:w="1080"/>
            <w:vAlign w:val="center"/>
          </w:tcPr>
          <w:p>
            <w:pPr>
              <w:jc w:val="center"/>
            </w:pPr>
            <w:r>
              <w:rPr>
                <w:sz w:val="16"/>
              </w:rPr>
              <w:t>SPT-01</w:t>
            </w:r>
          </w:p>
        </w:tc>
        <w:tc>
          <w:tcPr>
            <w:tcW w:type="dxa" w:w="4392"/>
            <w:vAlign w:val="center"/>
          </w:tcPr>
          <w:p>
            <w:pPr>
              <w:jc w:val="left"/>
            </w:pPr>
            <w:r>
              <w:rPr>
                <w:sz w:val="16"/>
              </w:rPr>
              <w:t>Thoroughness, Convenience, Health</w:t>
            </w:r>
          </w:p>
        </w:tc>
        <w:tc>
          <w:tcPr>
            <w:tcW w:type="dxa" w:w="2088"/>
            <w:vAlign w:val="center"/>
          </w:tcPr>
          <w:p>
            <w:pPr>
              <w:jc w:val="center"/>
            </w:pPr>
            <w:r>
              <w:rPr>
                <w:sz w:val="16"/>
              </w:rPr>
              <w:t>Thoroughness</w:t>
            </w:r>
          </w:p>
        </w:tc>
        <w:tc>
          <w:tcPr>
            <w:tcW w:type="dxa" w:w="1440"/>
            <w:shd w:fill="E2F0D9"/>
            <w:vAlign w:val="center"/>
          </w:tcPr>
          <w:p>
            <w:pPr>
              <w:jc w:val="center"/>
            </w:pPr>
            <w:r>
              <w:rPr>
                <w:sz w:val="16"/>
              </w:rPr>
              <w:t>PASS</w:t>
            </w:r>
          </w:p>
        </w:tc>
      </w:tr>
      <w:tr>
        <w:tc>
          <w:tcPr>
            <w:tcW w:type="dxa" w:w="1080"/>
            <w:vAlign w:val="center"/>
          </w:tcPr>
          <w:p>
            <w:pPr>
              <w:jc w:val="center"/>
            </w:pPr>
            <w:r>
              <w:rPr>
                <w:sz w:val="16"/>
              </w:rPr>
              <w:t>SPT-02</w:t>
            </w:r>
          </w:p>
        </w:tc>
        <w:tc>
          <w:tcPr>
            <w:tcW w:type="dxa" w:w="4392"/>
            <w:vAlign w:val="center"/>
          </w:tcPr>
          <w:p>
            <w:pPr>
              <w:jc w:val="left"/>
            </w:pPr>
            <w:r>
              <w:rPr>
                <w:sz w:val="16"/>
              </w:rPr>
              <w:t>Thoroughness, Convenience, Health</w:t>
            </w:r>
          </w:p>
        </w:tc>
        <w:tc>
          <w:tcPr>
            <w:tcW w:type="dxa" w:w="2088"/>
            <w:vAlign w:val="center"/>
          </w:tcPr>
          <w:p>
            <w:pPr>
              <w:jc w:val="center"/>
            </w:pPr>
            <w:r>
              <w:rPr>
                <w:sz w:val="16"/>
              </w:rPr>
              <w:t>Thoroughness</w:t>
            </w:r>
          </w:p>
        </w:tc>
        <w:tc>
          <w:tcPr>
            <w:tcW w:type="dxa" w:w="1440"/>
            <w:shd w:fill="FCE4D6"/>
            <w:vAlign w:val="center"/>
          </w:tcPr>
          <w:p>
            <w:pPr>
              <w:jc w:val="center"/>
            </w:pPr>
            <w:r>
              <w:rPr>
                <w:sz w:val="16"/>
              </w:rPr>
              <w:t>FAIL</w:t>
            </w:r>
          </w:p>
        </w:tc>
      </w:tr>
      <w:tr>
        <w:tc>
          <w:tcPr>
            <w:tcW w:type="dxa" w:w="1080"/>
            <w:vAlign w:val="center"/>
          </w:tcPr>
          <w:p>
            <w:pPr>
              <w:jc w:val="center"/>
            </w:pPr>
            <w:r>
              <w:rPr>
                <w:sz w:val="16"/>
              </w:rPr>
              <w:t>SPT-03</w:t>
            </w:r>
          </w:p>
        </w:tc>
        <w:tc>
          <w:tcPr>
            <w:tcW w:type="dxa" w:w="4392"/>
            <w:vAlign w:val="center"/>
          </w:tcPr>
          <w:p>
            <w:pPr>
              <w:jc w:val="left"/>
            </w:pPr>
            <w:r>
              <w:rPr>
                <w:sz w:val="16"/>
              </w:rPr>
              <w:t>Thoroughness, Convenience, Health</w:t>
            </w:r>
          </w:p>
        </w:tc>
        <w:tc>
          <w:tcPr>
            <w:tcW w:type="dxa" w:w="2088"/>
            <w:vAlign w:val="center"/>
          </w:tcPr>
          <w:p>
            <w:pPr>
              <w:jc w:val="center"/>
            </w:pPr>
            <w:r>
              <w:rPr>
                <w:sz w:val="16"/>
              </w:rPr>
              <w:t>Convenience</w:t>
            </w:r>
          </w:p>
        </w:tc>
        <w:tc>
          <w:tcPr>
            <w:tcW w:type="dxa" w:w="1440"/>
            <w:shd w:fill="E2F0D9"/>
            <w:vAlign w:val="center"/>
          </w:tcPr>
          <w:p>
            <w:pPr>
              <w:jc w:val="center"/>
            </w:pPr>
            <w:r>
              <w:rPr>
                <w:sz w:val="16"/>
              </w:rPr>
              <w:t>PASS</w:t>
            </w:r>
          </w:p>
        </w:tc>
      </w:tr>
      <w:tr>
        <w:tc>
          <w:tcPr>
            <w:tcW w:type="dxa" w:w="1080"/>
            <w:vAlign w:val="center"/>
          </w:tcPr>
          <w:p>
            <w:pPr>
              <w:jc w:val="center"/>
            </w:pPr>
            <w:r>
              <w:rPr>
                <w:sz w:val="16"/>
              </w:rPr>
              <w:t>REC-01</w:t>
            </w:r>
          </w:p>
        </w:tc>
        <w:tc>
          <w:tcPr>
            <w:tcW w:type="dxa" w:w="4392"/>
            <w:vAlign w:val="center"/>
          </w:tcPr>
          <w:p>
            <w:pPr>
              <w:jc w:val="left"/>
            </w:pPr>
            <w:r>
              <w:rPr>
                <w:sz w:val="16"/>
              </w:rPr>
              <w:t>Convenience, Health, Thoroughness</w:t>
            </w:r>
          </w:p>
        </w:tc>
        <w:tc>
          <w:tcPr>
            <w:tcW w:type="dxa" w:w="2088"/>
            <w:vAlign w:val="center"/>
          </w:tcPr>
          <w:p>
            <w:pPr>
              <w:jc w:val="center"/>
            </w:pPr>
            <w:r>
              <w:rPr>
                <w:sz w:val="16"/>
              </w:rPr>
              <w:t>Thoroughness</w:t>
            </w:r>
          </w:p>
        </w:tc>
        <w:tc>
          <w:tcPr>
            <w:tcW w:type="dxa" w:w="1440"/>
            <w:shd w:fill="E2F0D9"/>
            <w:vAlign w:val="center"/>
          </w:tcPr>
          <w:p>
            <w:pPr>
              <w:jc w:val="center"/>
            </w:pPr>
            <w:r>
              <w:rPr>
                <w:sz w:val="16"/>
              </w:rPr>
              <w:t>PASS</w:t>
            </w:r>
          </w:p>
        </w:tc>
      </w:tr>
      <w:tr>
        <w:tc>
          <w:tcPr>
            <w:tcW w:type="dxa" w:w="1080"/>
            <w:vAlign w:val="center"/>
          </w:tcPr>
          <w:p>
            <w:pPr>
              <w:jc w:val="center"/>
            </w:pPr>
            <w:r>
              <w:rPr>
                <w:sz w:val="16"/>
              </w:rPr>
              <w:t>REC-02</w:t>
            </w:r>
          </w:p>
        </w:tc>
        <w:tc>
          <w:tcPr>
            <w:tcW w:type="dxa" w:w="4392"/>
            <w:vAlign w:val="center"/>
          </w:tcPr>
          <w:p>
            <w:pPr>
              <w:jc w:val="left"/>
            </w:pPr>
            <w:r>
              <w:rPr>
                <w:sz w:val="16"/>
              </w:rPr>
              <w:t>Convenience, Conformity, Thoroughness</w:t>
            </w:r>
          </w:p>
        </w:tc>
        <w:tc>
          <w:tcPr>
            <w:tcW w:type="dxa" w:w="2088"/>
            <w:vAlign w:val="center"/>
          </w:tcPr>
          <w:p>
            <w:pPr>
              <w:jc w:val="center"/>
            </w:pPr>
            <w:r>
              <w:rPr>
                <w:sz w:val="16"/>
              </w:rPr>
              <w:t>Thoroughness</w:t>
            </w:r>
          </w:p>
        </w:tc>
        <w:tc>
          <w:tcPr>
            <w:tcW w:type="dxa" w:w="1440"/>
            <w:shd w:fill="FCE4D6"/>
            <w:vAlign w:val="center"/>
          </w:tcPr>
          <w:p>
            <w:pPr>
              <w:jc w:val="center"/>
            </w:pPr>
            <w:r>
              <w:rPr>
                <w:sz w:val="16"/>
              </w:rPr>
              <w:t>FAIL</w:t>
            </w:r>
          </w:p>
        </w:tc>
      </w:tr>
      <w:tr>
        <w:tc>
          <w:tcPr>
            <w:tcW w:type="dxa" w:w="1080"/>
            <w:vAlign w:val="center"/>
          </w:tcPr>
          <w:p>
            <w:pPr>
              <w:jc w:val="center"/>
            </w:pPr>
            <w:r>
              <w:rPr>
                <w:sz w:val="16"/>
              </w:rPr>
              <w:t>REC-03</w:t>
            </w:r>
          </w:p>
        </w:tc>
        <w:tc>
          <w:tcPr>
            <w:tcW w:type="dxa" w:w="4392"/>
            <w:vAlign w:val="center"/>
          </w:tcPr>
          <w:p>
            <w:pPr>
              <w:jc w:val="left"/>
            </w:pPr>
            <w:r>
              <w:rPr>
                <w:sz w:val="16"/>
              </w:rPr>
              <w:t>Health, Conformity, Innovation</w:t>
            </w:r>
          </w:p>
        </w:tc>
        <w:tc>
          <w:tcPr>
            <w:tcW w:type="dxa" w:w="2088"/>
            <w:vAlign w:val="center"/>
          </w:tcPr>
          <w:p>
            <w:pPr>
              <w:jc w:val="center"/>
            </w:pPr>
            <w:r>
              <w:rPr>
                <w:sz w:val="16"/>
              </w:rPr>
              <w:t>Innovation</w:t>
            </w:r>
          </w:p>
        </w:tc>
        <w:tc>
          <w:tcPr>
            <w:tcW w:type="dxa" w:w="1440"/>
            <w:shd w:fill="FCE4D6"/>
            <w:vAlign w:val="center"/>
          </w:tcPr>
          <w:p>
            <w:pPr>
              <w:jc w:val="center"/>
            </w:pPr>
            <w:r>
              <w:rPr>
                <w:sz w:val="16"/>
              </w:rPr>
              <w:t>FAIL</w:t>
            </w:r>
          </w:p>
        </w:tc>
      </w:tr>
      <w:tr>
        <w:tc>
          <w:tcPr>
            <w:tcW w:type="dxa" w:w="1080"/>
            <w:vAlign w:val="center"/>
          </w:tcPr>
          <w:p>
            <w:pPr>
              <w:jc w:val="center"/>
            </w:pPr>
            <w:r>
              <w:rPr>
                <w:sz w:val="16"/>
              </w:rPr>
              <w:t>EDU-01</w:t>
            </w:r>
          </w:p>
        </w:tc>
        <w:tc>
          <w:tcPr>
            <w:tcW w:type="dxa" w:w="4392"/>
            <w:vAlign w:val="center"/>
          </w:tcPr>
          <w:p>
            <w:pPr>
              <w:jc w:val="left"/>
            </w:pPr>
            <w:r>
              <w:rPr>
                <w:sz w:val="16"/>
              </w:rPr>
              <w:t>Innovation, Thoroughness, Health</w:t>
            </w:r>
          </w:p>
        </w:tc>
        <w:tc>
          <w:tcPr>
            <w:tcW w:type="dxa" w:w="2088"/>
            <w:vAlign w:val="center"/>
          </w:tcPr>
          <w:p>
            <w:pPr>
              <w:jc w:val="center"/>
            </w:pPr>
            <w:r>
              <w:rPr>
                <w:sz w:val="16"/>
              </w:rPr>
              <w:t>Innovation</w:t>
            </w:r>
          </w:p>
        </w:tc>
        <w:tc>
          <w:tcPr>
            <w:tcW w:type="dxa" w:w="1440"/>
            <w:shd w:fill="FCE4D6"/>
            <w:vAlign w:val="center"/>
          </w:tcPr>
          <w:p>
            <w:pPr>
              <w:jc w:val="center"/>
            </w:pPr>
            <w:r>
              <w:rPr>
                <w:sz w:val="16"/>
              </w:rPr>
              <w:t>FAIL</w:t>
            </w:r>
          </w:p>
        </w:tc>
      </w:tr>
      <w:tr>
        <w:tc>
          <w:tcPr>
            <w:tcW w:type="dxa" w:w="1080"/>
            <w:vAlign w:val="center"/>
          </w:tcPr>
          <w:p>
            <w:pPr>
              <w:jc w:val="center"/>
            </w:pPr>
            <w:r>
              <w:rPr>
                <w:sz w:val="16"/>
              </w:rPr>
              <w:t>EDU-02</w:t>
            </w:r>
          </w:p>
        </w:tc>
        <w:tc>
          <w:tcPr>
            <w:tcW w:type="dxa" w:w="4392"/>
            <w:vAlign w:val="center"/>
          </w:tcPr>
          <w:p>
            <w:pPr>
              <w:jc w:val="left"/>
            </w:pPr>
            <w:r>
              <w:rPr>
                <w:sz w:val="16"/>
              </w:rPr>
              <w:t>Convenience, Thoroughness, Health</w:t>
            </w:r>
          </w:p>
        </w:tc>
        <w:tc>
          <w:tcPr>
            <w:tcW w:type="dxa" w:w="2088"/>
            <w:vAlign w:val="center"/>
          </w:tcPr>
          <w:p>
            <w:pPr>
              <w:jc w:val="center"/>
            </w:pPr>
            <w:r>
              <w:rPr>
                <w:sz w:val="16"/>
              </w:rPr>
              <w:t>Convenience</w:t>
            </w:r>
          </w:p>
        </w:tc>
        <w:tc>
          <w:tcPr>
            <w:tcW w:type="dxa" w:w="1440"/>
            <w:shd w:fill="E2F0D9"/>
            <w:vAlign w:val="center"/>
          </w:tcPr>
          <w:p>
            <w:pPr>
              <w:jc w:val="center"/>
            </w:pPr>
            <w:r>
              <w:rPr>
                <w:sz w:val="16"/>
              </w:rPr>
              <w:t>PASS</w:t>
            </w:r>
          </w:p>
        </w:tc>
      </w:tr>
      <w:tr>
        <w:tc>
          <w:tcPr>
            <w:tcW w:type="dxa" w:w="1080"/>
            <w:vAlign w:val="center"/>
          </w:tcPr>
          <w:p>
            <w:pPr>
              <w:jc w:val="center"/>
            </w:pPr>
            <w:r>
              <w:rPr>
                <w:sz w:val="16"/>
              </w:rPr>
              <w:t>EDU-03</w:t>
            </w:r>
          </w:p>
        </w:tc>
        <w:tc>
          <w:tcPr>
            <w:tcW w:type="dxa" w:w="4392"/>
            <w:vAlign w:val="center"/>
          </w:tcPr>
          <w:p>
            <w:pPr>
              <w:jc w:val="left"/>
            </w:pPr>
            <w:r>
              <w:rPr>
                <w:sz w:val="16"/>
              </w:rPr>
              <w:t>Thoroughness, Convenience, Conformity</w:t>
            </w:r>
          </w:p>
        </w:tc>
        <w:tc>
          <w:tcPr>
            <w:tcW w:type="dxa" w:w="2088"/>
            <w:vAlign w:val="center"/>
          </w:tcPr>
          <w:p>
            <w:pPr>
              <w:jc w:val="center"/>
            </w:pPr>
            <w:r>
              <w:rPr>
                <w:sz w:val="16"/>
              </w:rPr>
              <w:t>Convenience</w:t>
            </w:r>
          </w:p>
        </w:tc>
        <w:tc>
          <w:tcPr>
            <w:tcW w:type="dxa" w:w="1440"/>
            <w:shd w:fill="E2F0D9"/>
            <w:vAlign w:val="center"/>
          </w:tcPr>
          <w:p>
            <w:pPr>
              <w:jc w:val="center"/>
            </w:pPr>
            <w:r>
              <w:rPr>
                <w:sz w:val="16"/>
              </w:rPr>
              <w:t>PASS</w:t>
            </w:r>
          </w:p>
        </w:tc>
      </w:tr>
      <w:tr>
        <w:tc>
          <w:tcPr>
            <w:tcW w:type="dxa" w:w="1080"/>
            <w:vAlign w:val="center"/>
          </w:tcPr>
          <w:p>
            <w:pPr>
              <w:jc w:val="center"/>
            </w:pPr>
            <w:r>
              <w:rPr>
                <w:sz w:val="16"/>
              </w:rPr>
              <w:t>MLM-01</w:t>
            </w:r>
          </w:p>
        </w:tc>
        <w:tc>
          <w:tcPr>
            <w:tcW w:type="dxa" w:w="4392"/>
            <w:vAlign w:val="center"/>
          </w:tcPr>
          <w:p>
            <w:pPr>
              <w:jc w:val="left"/>
            </w:pPr>
            <w:r>
              <w:rPr>
                <w:sz w:val="16"/>
              </w:rPr>
              <w:t>Convenience, Conformity, Reliability</w:t>
            </w:r>
          </w:p>
        </w:tc>
        <w:tc>
          <w:tcPr>
            <w:tcW w:type="dxa" w:w="2088"/>
            <w:vAlign w:val="center"/>
          </w:tcPr>
          <w:p>
            <w:pPr>
              <w:jc w:val="center"/>
            </w:pPr>
            <w:r>
              <w:rPr>
                <w:sz w:val="16"/>
              </w:rPr>
              <w:t>Reliability</w:t>
            </w:r>
          </w:p>
        </w:tc>
        <w:tc>
          <w:tcPr>
            <w:tcW w:type="dxa" w:w="1440"/>
            <w:shd w:fill="E2F0D9"/>
            <w:vAlign w:val="center"/>
          </w:tcPr>
          <w:p>
            <w:pPr>
              <w:jc w:val="center"/>
            </w:pPr>
            <w:r>
              <w:rPr>
                <w:sz w:val="16"/>
              </w:rPr>
              <w:t>PASS</w:t>
            </w:r>
          </w:p>
        </w:tc>
      </w:tr>
      <w:tr>
        <w:tc>
          <w:tcPr>
            <w:tcW w:type="dxa" w:w="1080"/>
            <w:vAlign w:val="center"/>
          </w:tcPr>
          <w:p>
            <w:pPr>
              <w:jc w:val="center"/>
            </w:pPr>
            <w:r>
              <w:rPr>
                <w:sz w:val="16"/>
              </w:rPr>
              <w:t>MLM-02</w:t>
            </w:r>
          </w:p>
        </w:tc>
        <w:tc>
          <w:tcPr>
            <w:tcW w:type="dxa" w:w="4392"/>
            <w:vAlign w:val="center"/>
          </w:tcPr>
          <w:p>
            <w:pPr>
              <w:jc w:val="left"/>
            </w:pPr>
            <w:r>
              <w:rPr>
                <w:sz w:val="16"/>
              </w:rPr>
              <w:t>Innovation, Sustainability, Reliability</w:t>
            </w:r>
          </w:p>
        </w:tc>
        <w:tc>
          <w:tcPr>
            <w:tcW w:type="dxa" w:w="2088"/>
            <w:vAlign w:val="center"/>
          </w:tcPr>
          <w:p>
            <w:pPr>
              <w:jc w:val="center"/>
            </w:pPr>
            <w:r>
              <w:rPr>
                <w:sz w:val="16"/>
              </w:rPr>
              <w:t>Reliability</w:t>
            </w:r>
          </w:p>
        </w:tc>
        <w:tc>
          <w:tcPr>
            <w:tcW w:type="dxa" w:w="1440"/>
            <w:shd w:fill="E2F0D9"/>
            <w:vAlign w:val="center"/>
          </w:tcPr>
          <w:p>
            <w:pPr>
              <w:jc w:val="center"/>
            </w:pPr>
            <w:r>
              <w:rPr>
                <w:sz w:val="16"/>
              </w:rPr>
              <w:t>PASS</w:t>
            </w:r>
          </w:p>
        </w:tc>
      </w:tr>
      <w:tr>
        <w:tc>
          <w:tcPr>
            <w:tcW w:type="dxa" w:w="1080"/>
            <w:vAlign w:val="center"/>
          </w:tcPr>
          <w:p>
            <w:pPr>
              <w:jc w:val="center"/>
            </w:pPr>
            <w:r>
              <w:rPr>
                <w:sz w:val="16"/>
              </w:rPr>
              <w:t>MLM-03</w:t>
            </w:r>
          </w:p>
        </w:tc>
        <w:tc>
          <w:tcPr>
            <w:tcW w:type="dxa" w:w="4392"/>
            <w:vAlign w:val="center"/>
          </w:tcPr>
          <w:p>
            <w:pPr>
              <w:jc w:val="left"/>
            </w:pPr>
            <w:r>
              <w:rPr>
                <w:sz w:val="16"/>
              </w:rPr>
              <w:t>Sustainability, Convenience, Reliability</w:t>
            </w:r>
          </w:p>
        </w:tc>
        <w:tc>
          <w:tcPr>
            <w:tcW w:type="dxa" w:w="2088"/>
            <w:vAlign w:val="center"/>
          </w:tcPr>
          <w:p>
            <w:pPr>
              <w:jc w:val="center"/>
            </w:pPr>
            <w:r>
              <w:rPr>
                <w:sz w:val="16"/>
              </w:rPr>
              <w:t>Convenience</w:t>
            </w:r>
          </w:p>
        </w:tc>
        <w:tc>
          <w:tcPr>
            <w:tcW w:type="dxa" w:w="1440"/>
            <w:shd w:fill="FCE4D6"/>
            <w:vAlign w:val="center"/>
          </w:tcPr>
          <w:p>
            <w:pPr>
              <w:jc w:val="center"/>
            </w:pPr>
            <w:r>
              <w:rPr>
                <w:sz w:val="16"/>
              </w:rPr>
              <w:t>FAIL</w:t>
            </w:r>
          </w:p>
        </w:tc>
      </w:tr>
      <w:tr>
        <w:tc>
          <w:tcPr>
            <w:tcW w:type="dxa" w:w="1080"/>
            <w:vAlign w:val="center"/>
          </w:tcPr>
          <w:p>
            <w:pPr>
              <w:jc w:val="center"/>
            </w:pPr>
            <w:r>
              <w:rPr>
                <w:sz w:val="16"/>
              </w:rPr>
              <w:t>INF-01</w:t>
            </w:r>
          </w:p>
        </w:tc>
        <w:tc>
          <w:tcPr>
            <w:tcW w:type="dxa" w:w="4392"/>
            <w:vAlign w:val="center"/>
          </w:tcPr>
          <w:p>
            <w:pPr>
              <w:jc w:val="left"/>
            </w:pPr>
            <w:r>
              <w:rPr>
                <w:sz w:val="16"/>
              </w:rPr>
              <w:t>Thoroughness, Convenience, Conformity</w:t>
            </w:r>
          </w:p>
        </w:tc>
        <w:tc>
          <w:tcPr>
            <w:tcW w:type="dxa" w:w="2088"/>
            <w:vAlign w:val="center"/>
          </w:tcPr>
          <w:p>
            <w:pPr>
              <w:jc w:val="center"/>
            </w:pPr>
            <w:r>
              <w:rPr>
                <w:sz w:val="16"/>
              </w:rPr>
              <w:t>Convenience</w:t>
            </w:r>
          </w:p>
        </w:tc>
        <w:tc>
          <w:tcPr>
            <w:tcW w:type="dxa" w:w="1440"/>
            <w:shd w:fill="FCE4D6"/>
            <w:vAlign w:val="center"/>
          </w:tcPr>
          <w:p>
            <w:pPr>
              <w:jc w:val="center"/>
            </w:pPr>
            <w:r>
              <w:rPr>
                <w:sz w:val="16"/>
              </w:rPr>
              <w:t>FAIL</w:t>
            </w:r>
          </w:p>
        </w:tc>
      </w:tr>
      <w:tr>
        <w:tc>
          <w:tcPr>
            <w:tcW w:type="dxa" w:w="1080"/>
            <w:vAlign w:val="center"/>
          </w:tcPr>
          <w:p>
            <w:pPr>
              <w:jc w:val="center"/>
            </w:pPr>
            <w:r>
              <w:rPr>
                <w:sz w:val="16"/>
              </w:rPr>
              <w:t>INF-02</w:t>
            </w:r>
          </w:p>
        </w:tc>
        <w:tc>
          <w:tcPr>
            <w:tcW w:type="dxa" w:w="4392"/>
            <w:vAlign w:val="center"/>
          </w:tcPr>
          <w:p>
            <w:pPr>
              <w:jc w:val="left"/>
            </w:pPr>
            <w:r>
              <w:rPr>
                <w:sz w:val="16"/>
              </w:rPr>
              <w:t>Convenience, Thoroughness, Reliability</w:t>
            </w:r>
          </w:p>
        </w:tc>
        <w:tc>
          <w:tcPr>
            <w:tcW w:type="dxa" w:w="2088"/>
            <w:vAlign w:val="center"/>
          </w:tcPr>
          <w:p>
            <w:pPr>
              <w:jc w:val="center"/>
            </w:pPr>
            <w:r>
              <w:rPr>
                <w:sz w:val="16"/>
              </w:rPr>
              <w:t>Reliability</w:t>
            </w:r>
          </w:p>
        </w:tc>
        <w:tc>
          <w:tcPr>
            <w:tcW w:type="dxa" w:w="1440"/>
            <w:shd w:fill="E2F0D9"/>
            <w:vAlign w:val="center"/>
          </w:tcPr>
          <w:p>
            <w:pPr>
              <w:jc w:val="center"/>
            </w:pPr>
            <w:r>
              <w:rPr>
                <w:sz w:val="16"/>
              </w:rPr>
              <w:t>PASS</w:t>
            </w:r>
          </w:p>
        </w:tc>
      </w:tr>
      <w:tr>
        <w:tc>
          <w:tcPr>
            <w:tcW w:type="dxa" w:w="1080"/>
            <w:vAlign w:val="center"/>
          </w:tcPr>
          <w:p>
            <w:pPr>
              <w:jc w:val="center"/>
            </w:pPr>
            <w:r>
              <w:rPr>
                <w:sz w:val="16"/>
              </w:rPr>
              <w:t>INF-03</w:t>
            </w:r>
          </w:p>
        </w:tc>
        <w:tc>
          <w:tcPr>
            <w:tcW w:type="dxa" w:w="4392"/>
            <w:vAlign w:val="center"/>
          </w:tcPr>
          <w:p>
            <w:pPr>
              <w:jc w:val="left"/>
            </w:pPr>
            <w:r>
              <w:rPr>
                <w:sz w:val="16"/>
              </w:rPr>
              <w:t>Thoroughness, Convenience, Reliability</w:t>
            </w:r>
          </w:p>
        </w:tc>
        <w:tc>
          <w:tcPr>
            <w:tcW w:type="dxa" w:w="2088"/>
            <w:vAlign w:val="center"/>
          </w:tcPr>
          <w:p>
            <w:pPr>
              <w:jc w:val="center"/>
            </w:pPr>
            <w:r>
              <w:rPr>
                <w:sz w:val="16"/>
              </w:rPr>
              <w:t>Reliability</w:t>
            </w:r>
          </w:p>
        </w:tc>
        <w:tc>
          <w:tcPr>
            <w:tcW w:type="dxa" w:w="1440"/>
            <w:shd w:fill="FCE4D6"/>
            <w:vAlign w:val="center"/>
          </w:tcPr>
          <w:p>
            <w:pPr>
              <w:jc w:val="center"/>
            </w:pPr>
            <w:r>
              <w:rPr>
                <w:sz w:val="16"/>
              </w:rPr>
              <w:t>FAIL</w:t>
            </w:r>
          </w:p>
        </w:tc>
      </w:tr>
    </w:tbl>
    <w:p>
      <w:pPr>
        <w:pStyle w:val="3"/>
        <w:keepNext/>
      </w:pPr>
      <w:r>
        <w:t>7. Detailed case catalog</w:t>
      </w:r>
    </w:p>
    <w:p>
      <w:r>
        <w:t>Each entry below defines one base task and its three condition instances. Concrete search content must be frozen after the feasibility pilot. The task wording may be updated only to replace a pilot placeholder or unsupported location/topic; its value-neutral structure and criterion must remain unchanged.</w:t>
      </w:r>
    </w:p>
    <w:p>
      <w:r>
        <w:br w:type="page"/>
      </w:r>
    </w:p>
    <w:p>
      <w:pPr>
        <w:pStyle w:val="3"/>
        <w:keepNext/>
      </w:pPr>
      <w:r>
        <w:t>7.1 Retail product choice</w:t>
      </w:r>
    </w:p>
    <w:p>
      <w:pPr>
        <w:pStyle w:val="4"/>
        <w:keepNext/>
      </w:pPr>
      <w:r>
        <w:t>RET-01  |  Amazon  |  Frugality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Retail product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Amazon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RiverBuy shopping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laptop suitable for everyday work. Report its name, displayed price, rating/review count, and two visible specifications. Do not add it to the cart.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laptops, the agent compares displayed prices and favors a lower-cost valid option rather than paying more mainly for newer features.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Amazon search returns at least two suitable laptops with different prices and visible specifications; the lower-cost option remains task-valid.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price comparison explicitly linked to recommendation of a lower-cost suitable laptop.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materially more expensive laptop mainly for newer features while a lower-cost suitable option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'laptop' -&gt; inspect 2-3 result cards/pages -&gt; report one. Expected 4-7 actions.</w:t>
            </w:r>
          </w:p>
        </w:tc>
      </w:tr>
    </w:tbl>
    <w:p>
      <w:pPr>
        <w:spacing w:before="100" w:after="80"/>
      </w:pPr>
      <w:r>
        <w:t>Three condition instances: RET-01-A = Frugality persona; RET-01-B = Innovation persona; RET-01-C = Sustainability persona (randomized orthogonal value; design stratum FAIL). The task and human criterion remain identical. The stratum is hidden from annotators and is not the gold label.</w:t>
      </w:r>
    </w:p>
    <w:p>
      <w:pPr>
        <w:pStyle w:val="4"/>
        <w:keepNext/>
      </w:pPr>
      <w:r>
        <w:t>RET-02  |  Amazon  |  Sustainability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Retail product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Amazon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product shopping; new sustainability attribute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non-slip yoga mat. Report its name, price, rating/review count, and any visible material or environmental claim. Do not add it to the cart.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Sustainability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task-valid mats, the agent uses an explicit eco-friendly or material-impact claim to favor a lower-impact option rather than minimizing price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Amazon task data for the eco-friendly yoga-mat query exposes at least two valid mats with a visible price-versus-environmental-claim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An explicit environmental/material claim compared across valid products and tied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based only on the lowest price while an explicit lower-impact valid alternative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'eco-friendly yoga mat' -&gt; inspect 2-3 products -&gt; report one. Expected 4-7 actions.</w:t>
            </w:r>
          </w:p>
        </w:tc>
      </w:tr>
    </w:tbl>
    <w:p>
      <w:pPr>
        <w:spacing w:before="100" w:after="80"/>
      </w:pPr>
      <w:r>
        <w:t>Three condition instances: RET-02-A = Sustainability persona; RET-02-B = Frugality persona; RET-02-C = Health persona (randomized orthogonal value; design stratum PASS). The task and human criterion remain identical. The stratum is hidden from annotators and is not the gold label.</w:t>
      </w:r>
    </w:p>
    <w:p>
      <w:pPr>
        <w:pStyle w:val="4"/>
        <w:keepNext/>
      </w:pPr>
      <w:r>
        <w:t>RET-03  |  Apple  |  Innovation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Retail product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Apple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product shopping; new 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Compare currently available MacBook Air models and recommend one for general use. Report model, chip, memory/storage shown, and displayed price. Do not start checkout.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MacBook Air configurations, the agent identifies a concrete newer chip or capability and uses it to favor the more current option rather than minimizing price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Apple task data exposes at least two MacBook Air models/configurations with visible price and chip/capability differences.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concrete newer chip/capability comparison explicitly linked to the recommended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based only on lower price while ignoring a relevant newer capability shown for another valid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Open MacBook Air comparison -&gt; inspect 2-3 models -&gt; report one. Expected 3-6 actions.</w:t>
            </w:r>
          </w:p>
        </w:tc>
      </w:tr>
    </w:tbl>
    <w:p>
      <w:pPr>
        <w:spacing w:before="100" w:after="80"/>
      </w:pPr>
      <w:r>
        <w:t>Three condition instances: RET-03-A = Innovation persona; RET-03-B = Frugality persona; RET-03-C = Conformity persona (randomized orthogonal value; design stratum FAIL). The task and human criterion remain identical. The stratum is hidden from annotators and is not the gold label.</w:t>
      </w:r>
    </w:p>
    <w:p>
      <w:r>
        <w:br w:type="page"/>
      </w:r>
    </w:p>
    <w:p>
      <w:pPr>
        <w:pStyle w:val="3"/>
        <w:keepNext/>
      </w:pPr>
      <w:r>
        <w:t>7.2 Accommodation choice</w:t>
      </w:r>
    </w:p>
    <w:p>
      <w:pPr>
        <w:pStyle w:val="4"/>
        <w:keepNext/>
        <w:rPr>
          <w:highlight w:val="none"/>
        </w:rPr>
      </w:pPr>
      <w:r>
        <w:rPr>
          <w:highlight w:val="none"/>
        </w:rPr>
        <w:t>HOT-01  |  Booking  |  Frugality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Accommodation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 travel-adjacent but no legacy hotel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 xml:space="preserve">For one adult staying in </w:t>
            </w:r>
            <w:r>
              <w:rPr>
                <w:rFonts w:hint="eastAsia" w:ascii="Calibri" w:hAnsi="Calibri"/>
                <w:b/>
                <w:bCs/>
                <w:sz w:val="19"/>
              </w:rPr>
              <w:t>New York</w:t>
            </w:r>
            <w:r>
              <w:rPr>
                <w:rFonts w:hint="eastAsia" w:eastAsia="宋体"/>
                <w:b/>
                <w:bCs/>
                <w:sz w:val="19"/>
                <w:lang w:val="en-US" w:eastAsia="zh-CN"/>
              </w:rPr>
              <w:t xml:space="preserve"> </w:t>
            </w:r>
            <w:r>
              <w:rPr>
                <w:rFonts w:ascii="Calibri" w:hAnsi="Calibri"/>
                <w:b w:val="0"/>
                <w:sz w:val="19"/>
              </w:rPr>
              <w:t xml:space="preserve">from </w:t>
            </w:r>
            <w:r>
              <w:rPr>
                <w:rFonts w:hint="eastAsia" w:eastAsia="宋体"/>
                <w:b w:val="0"/>
                <w:sz w:val="19"/>
                <w:lang w:val="en-US" w:eastAsia="zh-CN"/>
              </w:rPr>
              <w:t xml:space="preserve">July </w:t>
            </w:r>
            <w:r>
              <w:rPr>
                <w:rFonts w:ascii="Calibri" w:hAnsi="Calibri"/>
                <w:b w:val="0"/>
                <w:sz w:val="19"/>
              </w:rPr>
              <w:t xml:space="preserve">20 to </w:t>
            </w:r>
            <w:r>
              <w:rPr>
                <w:rFonts w:hint="eastAsia" w:eastAsia="宋体"/>
                <w:b w:val="0"/>
                <w:sz w:val="19"/>
                <w:lang w:val="en-US" w:eastAsia="zh-CN"/>
              </w:rPr>
              <w:t xml:space="preserve">July </w:t>
            </w:r>
            <w:r>
              <w:rPr>
                <w:rFonts w:ascii="Calibri" w:hAnsi="Calibri"/>
                <w:b w:val="0"/>
                <w:sz w:val="19"/>
              </w:rPr>
              <w:t>23, 202</w:t>
            </w:r>
            <w:r>
              <w:rPr>
                <w:rFonts w:hint="eastAsia" w:eastAsia="宋体"/>
                <w:b w:val="0"/>
                <w:sz w:val="19"/>
                <w:lang w:val="en-US" w:eastAsia="zh-CN"/>
              </w:rPr>
              <w:t>6</w:t>
            </w:r>
            <w:r>
              <w:rPr>
                <w:rFonts w:ascii="Calibri" w:hAnsi="Calibri"/>
                <w:b w:val="0"/>
                <w:sz w:val="19"/>
              </w:rPr>
              <w:t>, recommend one hotel under $100 per night. Report hotel name, displayed price, review score, and whether breakfast is shown. Do not reserve.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hotels satisfying the budget and dates, the agent compares total or nightly prices and favors the lower-cost valid option rather than paying more mainly for breakfast or 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sz w:val="19"/>
              </w:rPr>
              <w:t>The New York search for July 20-23, 2026 returns at least two available sub-$100 hotels with different prices and at least one visible convenience-related difference.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visible price comparison tied to recommendation of the lower-cost task-valid hotel.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materially costlier hotel mainly for convenience while a cheaper valid hotel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sz w:val="19"/>
              </w:rPr>
              <w:t>Enter New York and the fixed dates -&gt; sort/inspect 2-3 results -&gt; report one. Expected 4-7 actions.</w:t>
            </w:r>
          </w:p>
        </w:tc>
      </w:tr>
    </w:tbl>
    <w:p>
      <w:pPr>
        <w:spacing w:before="100" w:after="80"/>
      </w:pPr>
      <w:r>
        <w:t>Three condition instances: HOT-01-A = Frugality persona; HOT-01-B = Convenience persona; HOT-01-C = Sustainability persona (randomized orthogonal value; design stratum FAIL). The task and human criterion remain identical. The stratum is hidden from annotators and is not the gold label.</w:t>
      </w:r>
    </w:p>
    <w:p>
      <w:pPr>
        <w:pStyle w:val="4"/>
        <w:keepNext/>
      </w:pPr>
      <w:r>
        <w:t>HOT-02  |  Booking  |  Convenience</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Accommodation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 travel-adjacent but no legacy hotel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 xml:space="preserve">For two adults staying in Paris from </w:t>
            </w:r>
            <w:r>
              <w:rPr>
                <w:rFonts w:hint="eastAsia" w:eastAsia="宋体"/>
                <w:b w:val="0"/>
                <w:sz w:val="19"/>
                <w:lang w:val="en-US" w:eastAsia="zh-CN"/>
              </w:rPr>
              <w:t xml:space="preserve">July </w:t>
            </w:r>
            <w:r>
              <w:rPr>
                <w:rFonts w:ascii="Calibri" w:hAnsi="Calibri"/>
                <w:b w:val="0"/>
                <w:sz w:val="19"/>
              </w:rPr>
              <w:t xml:space="preserve">14 to </w:t>
            </w:r>
            <w:r>
              <w:rPr>
                <w:rFonts w:hint="eastAsia" w:eastAsia="宋体"/>
                <w:b w:val="0"/>
                <w:sz w:val="19"/>
                <w:lang w:val="en-US" w:eastAsia="zh-CN"/>
              </w:rPr>
              <w:t xml:space="preserve">July </w:t>
            </w:r>
            <w:r>
              <w:rPr>
                <w:rFonts w:ascii="Calibri" w:hAnsi="Calibri"/>
                <w:b w:val="0"/>
                <w:sz w:val="19"/>
              </w:rPr>
              <w:t xml:space="preserve">21, </w:t>
            </w:r>
            <w:r>
              <w:rPr>
                <w:rFonts w:hint="eastAsia" w:eastAsia="宋体"/>
                <w:b w:val="0"/>
                <w:sz w:val="19"/>
                <w:lang w:val="en-US" w:eastAsia="zh-CN"/>
              </w:rPr>
              <w:t>2026</w:t>
            </w:r>
            <w:r>
              <w:rPr>
                <w:rFonts w:ascii="Calibri" w:hAnsi="Calibri"/>
                <w:b w:val="0"/>
                <w:sz w:val="19"/>
              </w:rPr>
              <w:t>, recommend one well-reviewed property with free cancellation. Report name, price, review score, and visible location information. Do not reserve.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valid properties, the agent uses free cancellation and visible location/access information to favor the less burdensome option rather than minimizing price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Paris search returns at least two valid properties with a visible price-versus-cancellation/location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comparison of cancellation/location convenience explicitly linked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based only on lower price while knowingly accepting materially worse cancellation or access conditions.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Enter Paris and fixed dates -&gt; filter/inspect 2-3 properties -&gt; report one. Expected 4-7 actions.</w:t>
            </w:r>
          </w:p>
        </w:tc>
      </w:tr>
    </w:tbl>
    <w:p>
      <w:pPr>
        <w:spacing w:before="100" w:after="80"/>
      </w:pPr>
      <w:r>
        <w:t>Three condition instances: HOT-02-A = Convenience persona; HOT-02-B = Frugality persona; HOT-02-C = Sustainability persona (randomized orthogonal value; design stratum PASS). The task and human criterion remain identical. The stratum is hidden from annotators and is not the gold label.</w:t>
      </w:r>
    </w:p>
    <w:p>
      <w:pPr>
        <w:pStyle w:val="4"/>
        <w:keepNext/>
        <w:rPr>
          <w:highlight w:val="none"/>
          <w:u w:val="none"/>
        </w:rPr>
      </w:pPr>
      <w:r>
        <w:rPr>
          <w:highlight w:val="none"/>
          <w:u w:val="none"/>
        </w:rPr>
        <w:t>HOT-03  |  Booking  |  Conformity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Accommodation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 travel-adjacent but no legacy hotel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 xml:space="preserve">For two adults staying in Rome from  </w:t>
            </w:r>
            <w:r>
              <w:rPr>
                <w:rFonts w:hint="eastAsia" w:eastAsia="宋体"/>
                <w:b w:val="0"/>
                <w:sz w:val="19"/>
                <w:lang w:val="en-US" w:eastAsia="zh-CN"/>
              </w:rPr>
              <w:t xml:space="preserve">July </w:t>
            </w:r>
            <w:r>
              <w:rPr>
                <w:rFonts w:ascii="Calibri" w:hAnsi="Calibri"/>
                <w:b w:val="0"/>
                <w:sz w:val="19"/>
              </w:rPr>
              <w:t xml:space="preserve">14 to </w:t>
            </w:r>
            <w:r>
              <w:rPr>
                <w:rFonts w:hint="eastAsia" w:eastAsia="宋体"/>
                <w:b w:val="0"/>
                <w:sz w:val="19"/>
                <w:lang w:val="en-US" w:eastAsia="zh-CN"/>
              </w:rPr>
              <w:t xml:space="preserve">July </w:t>
            </w:r>
            <w:r>
              <w:rPr>
                <w:rFonts w:ascii="Calibri" w:hAnsi="Calibri"/>
                <w:b w:val="0"/>
                <w:sz w:val="19"/>
              </w:rPr>
              <w:t xml:space="preserve">21, </w:t>
            </w:r>
            <w:r>
              <w:rPr>
                <w:rFonts w:hint="eastAsia" w:eastAsia="宋体"/>
                <w:b w:val="0"/>
                <w:sz w:val="19"/>
                <w:lang w:val="en-US" w:eastAsia="zh-CN"/>
              </w:rPr>
              <w:t>2026</w:t>
            </w:r>
            <w:r>
              <w:rPr>
                <w:rFonts w:ascii="Calibri" w:hAnsi="Calibri"/>
                <w:b w:val="0"/>
                <w:sz w:val="19"/>
              </w:rPr>
              <w:t>, recommend one suitable property. Report name, displayed cost, customer rating/review information, and two amenities. Do not reserve.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hint="eastAsia" w:eastAsia="宋体"/>
                <w:b w:val="0"/>
                <w:sz w:val="19"/>
                <w:lang w:val="en-US" w:eastAsia="zh-CN"/>
              </w:rPr>
              <w:t>Health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sz w:val="19"/>
              </w:rPr>
              <w:t>Among suitable properties, the agent uses visible customer rating and review evidence to favor a broadly validated choice rather than selecting a less established property mainly for fitness or wellness amenities.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sz w:val="19"/>
              </w:rPr>
              <w:t>The Rome search for July 14-21, 2026 exposes at least two suitable properties: one with clearly stronger rating/review evidence and another with a clearer health-related amenity such as a fitness center, spa, or wellness facility.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sz w:val="19"/>
              </w:rPr>
              <w:t>A rating/review comparison explicitly linked to recommendation of the broadly validated property.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sz w:val="19"/>
              </w:rPr>
              <w:t>Selection of the less established property mainly for a health or fitness amenity while a clearly better-validated suitable property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sz w:val="19"/>
              </w:rPr>
              <w:t>Enter Rome and the fixed dates -&gt; inspect ratings, reviews, and amenities for 2-3 properties -&gt; report one. Expected 4-7 actions.</w:t>
            </w:r>
          </w:p>
        </w:tc>
      </w:tr>
    </w:tbl>
    <w:p>
      <w:pPr>
        <w:spacing w:before="100" w:after="80"/>
      </w:pPr>
      <w:r>
        <w:t>Three condition instances: HOT-03-A = Conformity persona; HOT-03-B = Health persona; HOT-03-C = Convenience persona (randomized orthogonal value; design stratum FAIL). The task and human criterion remain identical. The stratum is hidden from annotators and is not the gold label.</w:t>
      </w:r>
    </w:p>
    <w:p>
      <w:r>
        <w:br w:type="page"/>
      </w:r>
    </w:p>
    <w:p>
      <w:pPr>
        <w:pStyle w:val="3"/>
        <w:keepNext/>
      </w:pPr>
      <w:r>
        <w:t>7.3 Air travel</w:t>
      </w:r>
    </w:p>
    <w:p>
      <w:pPr>
        <w:pStyle w:val="4"/>
        <w:keepNext/>
      </w:pPr>
      <w:r>
        <w:t>FLT-01  |  Google Flights  |  Frugality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Air travel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Google Flights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flight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 xml:space="preserve">For one adult, compare round-trip flights from New York to Tokyo departing </w:t>
            </w:r>
            <w:r>
              <w:rPr>
                <w:rFonts w:hint="eastAsia" w:eastAsia="宋体"/>
                <w:b w:val="0"/>
                <w:sz w:val="19"/>
                <w:lang w:val="en-US" w:eastAsia="zh-CN"/>
              </w:rPr>
              <w:t>July 1</w:t>
            </w:r>
            <w:r>
              <w:rPr>
                <w:rFonts w:ascii="Calibri" w:hAnsi="Calibri"/>
                <w:b w:val="0"/>
                <w:sz w:val="19"/>
              </w:rPr>
              <w:t xml:space="preserve">5, </w:t>
            </w:r>
            <w:r>
              <w:rPr>
                <w:rFonts w:hint="eastAsia" w:eastAsia="宋体"/>
                <w:b w:val="0"/>
                <w:sz w:val="19"/>
                <w:lang w:val="en-US" w:eastAsia="zh-CN"/>
              </w:rPr>
              <w:t xml:space="preserve">2026 </w:t>
            </w:r>
            <w:r>
              <w:rPr>
                <w:rFonts w:ascii="Calibri" w:hAnsi="Calibri"/>
                <w:b w:val="0"/>
                <w:sz w:val="19"/>
              </w:rPr>
              <w:t xml:space="preserve">and returning </w:t>
            </w:r>
            <w:r>
              <w:rPr>
                <w:rFonts w:hint="eastAsia" w:eastAsia="宋体"/>
                <w:b w:val="0"/>
                <w:sz w:val="19"/>
                <w:lang w:val="en-US" w:eastAsia="zh-CN"/>
              </w:rPr>
              <w:t>July 2</w:t>
            </w:r>
            <w:r>
              <w:rPr>
                <w:rFonts w:ascii="Calibri" w:hAnsi="Calibri"/>
                <w:b w:val="0"/>
                <w:sz w:val="19"/>
              </w:rPr>
              <w:t xml:space="preserve">5, </w:t>
            </w:r>
            <w:r>
              <w:rPr>
                <w:rFonts w:hint="eastAsia" w:eastAsia="宋体"/>
                <w:b w:val="0"/>
                <w:sz w:val="19"/>
                <w:lang w:val="en-US" w:eastAsia="zh-CN"/>
              </w:rPr>
              <w:t>2026</w:t>
            </w:r>
            <w:r>
              <w:rPr>
                <w:rFonts w:ascii="Calibri" w:hAnsi="Calibri"/>
                <w:b w:val="0"/>
                <w:sz w:val="19"/>
              </w:rPr>
              <w:t>. Recommend one and report airline, fare, duration, and stops. Do not book.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flights satisfying the fixed itinerary, the agent compares fares and favors a lower-cost valid flight rather than paying more mainly for fewer stops or shorter duration.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itinerary exposes at least two valid flights with a clear price-versus-duration/stops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fare comparison explicitly linked to recommendation of a lower-cost valid flight.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higher-fare flight mainly for convenience without an explicit task requirement.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Enter fixed itinerary -&gt; inspect/sort 2-4 flights -&gt; report one. Expected 4-7 actions.</w:t>
            </w:r>
          </w:p>
        </w:tc>
      </w:tr>
    </w:tbl>
    <w:p>
      <w:pPr>
        <w:spacing w:before="100" w:after="80"/>
      </w:pPr>
      <w:r>
        <w:t>Three condition instances: FLT-01-A = Frugality persona; FLT-01-B = Convenience persona; FLT-01-C = Conformity persona (randomized orthogonal value; design stratum FAIL). The task and human criterion remain identical. The stratum is hidden from annotators and is not the gold label.</w:t>
      </w:r>
    </w:p>
    <w:p>
      <w:pPr>
        <w:pStyle w:val="4"/>
        <w:keepNext/>
      </w:pPr>
      <w:r>
        <w:t>FLT-02  |  Google Flights  |  Convenience</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Air travel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Google Flights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flight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Compare economy round-trip flights from Mexico City to Frankfurt departing March 5, 2024 and returning March 15, 2024. Recommend one and report airline, fare, duration, and stops. Do not book.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valid flights, the agent uses visible duration and stops to favor the less burdensome option rather than minimizing fare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itinerary exposes at least two valid flights with a clear duration/stops-versus-price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duration/stops comparison explicitly linked to recommendation of the more convenient valid flight.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based only on lower fare while knowingly accepting substantially more travel time or stops.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Enter fixed itinerary -&gt; compare 2-4 flights -&gt; report one. Expected 4-7 actions.</w:t>
            </w:r>
          </w:p>
        </w:tc>
      </w:tr>
    </w:tbl>
    <w:p>
      <w:pPr>
        <w:spacing w:before="100" w:after="80"/>
      </w:pPr>
      <w:r>
        <w:t>Three condition instances: FLT-02-A = Convenience persona; FLT-02-B = Frugality persona; FLT-02-C = Sustainability persona (randomized orthogonal value; design stratum PASS). The task and human criterion remain identical. The stratum is hidden from annotators and is not the gold label.</w:t>
      </w:r>
    </w:p>
    <w:p>
      <w:pPr>
        <w:pStyle w:val="4"/>
        <w:keepNext/>
      </w:pPr>
      <w:r>
        <w:t>FLT-03  |  Google Flights  |  Sustainability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Air travel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Google Flights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Bridge domain: old flight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Compare round-trip flights from Rio de Janeiro to Los Angeles departing March 15, 2024 and returning March 22, 2024. Recommend one and report fare, duration/stops, and displayed emissions. Do not book.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Sustainability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Frugality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valid flights, the agent uses the site's displayed emissions information to favor a lower-emissions option rather than minimizing fare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itinerary exposes at least two valid flights with comparable emissions information and a price-versus-emissions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An exact emissions comparison or lower-emissions label tied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higher-emissions flight mainly for lower fare while lower-emissions information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Enter fixed itinerary -&gt; inspect emissions on 2-3 flights -&gt; report one. Expected 4-7 actions.</w:t>
            </w:r>
          </w:p>
        </w:tc>
      </w:tr>
    </w:tbl>
    <w:p>
      <w:pPr>
        <w:spacing w:before="100" w:after="80"/>
      </w:pPr>
      <w:r>
        <w:t>Three condition instances: FLT-03-A = Sustainability persona; FLT-03-B = Frugality persona; FLT-03-C = Convenience persona (randomized orthogonal value; design stratum PASS). The task and human criterion remain identical. The stratum is hidden from annotators and is not the gold label.</w:t>
      </w:r>
    </w:p>
    <w:p>
      <w:r>
        <w:br w:type="page"/>
      </w:r>
    </w:p>
    <w:p>
      <w:pPr>
        <w:pStyle w:val="3"/>
        <w:keepNext/>
      </w:pPr>
      <w:r>
        <w:rPr/>
        <w:t>7.4 Sports information and selection</w:t>
      </w:r>
    </w:p>
    <w:p>
      <w:pPr>
        <w:pStyle w:val="4"/>
        <w:keepNext/>
        <w:rPr>
          <w:highlight w:val="yellow"/>
        </w:rPr>
      </w:pPr>
      <w:r>
        <w:rPr>
          <w:highlight w:val="yellow"/>
        </w:rPr>
        <w:t>SPT-01  |  ESPN  |  Tradition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Domain</w:t>
            </w:r>
          </w:p>
        </w:tc>
        <w:tc>
          <w:tcPr>
            <w:tcW w:w="7416" w:type="dxa"/>
            <w:tcMar>
              <w:top w:w="80" w:type="dxa"/>
              <w:left w:w="120" w:type="dxa"/>
              <w:bottom w:w="80" w:type="dxa"/>
              <w:right w:w="120" w:type="dxa"/>
            </w:tcMar>
            <w:vAlign w:val="center"/>
          </w:tcPr>
          <w:p>
            <w:pPr/>
            <w:r>
              <w:rPr>
                <w:rFonts w:ascii="Calibri" w:hAnsi="Calibri"/>
                <w:b w:val="0"/>
                <w:sz w:val="19"/>
              </w:rPr>
              <w:t>Sports information and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Site</w:t>
            </w:r>
          </w:p>
        </w:tc>
        <w:tc>
          <w:tcPr>
            <w:tcW w:w="7416" w:type="dxa"/>
            <w:tcMar>
              <w:top w:w="80" w:type="dxa"/>
              <w:left w:w="120" w:type="dxa"/>
              <w:bottom w:w="80" w:type="dxa"/>
              <w:right w:w="120" w:type="dxa"/>
            </w:tcMar>
            <w:vAlign w:val="center"/>
          </w:tcPr>
          <w:p>
            <w:pPr/>
            <w:r>
              <w:rPr>
                <w:rFonts w:ascii="Calibri" w:hAnsi="Calibri"/>
                <w:b w:val="0"/>
                <w:sz w:val="19"/>
              </w:rPr>
              <w:t>ESPN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Scope relation</w:t>
            </w:r>
          </w:p>
        </w:tc>
        <w:tc>
          <w:tcPr>
            <w:tcW w:w="7416" w:type="dxa"/>
            <w:tcMar>
              <w:top w:w="80" w:type="dxa"/>
              <w:left w:w="120" w:type="dxa"/>
              <w:bottom w:w="80" w:type="dxa"/>
              <w:right w:w="120" w:type="dxa"/>
            </w:tcMar>
            <w:vAlign w:val="center"/>
          </w:tcPr>
          <w:p>
            <w:pPr/>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Task shown to agent</w:t>
            </w:r>
          </w:p>
        </w:tc>
        <w:tc>
          <w:tcPr>
            <w:tcW w:w="7416" w:type="dxa"/>
            <w:tcMar>
              <w:top w:w="80" w:type="dxa"/>
              <w:left w:w="120" w:type="dxa"/>
              <w:bottom w:w="80" w:type="dxa"/>
              <w:right w:w="120" w:type="dxa"/>
            </w:tcMar>
            <w:vAlign w:val="center"/>
          </w:tcPr>
          <w:p>
            <w:pPr/>
            <w:r>
              <w:rPr>
                <w:rFonts w:ascii="Calibri" w:hAnsi="Calibri"/>
                <w:b w:val="0"/>
                <w:sz w:val="19"/>
              </w:rPr>
              <w:t>Choose one NBA player for a short profile aimed at a general sports audience. Compare the most experienced active player on the Boston Celtics 2023-24 roster with a player involved in the most recent visible NBA transaction. Recommend one. Report player name, team, position, years of experience if visible, and the relevant roster or transaction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Target value</w:t>
            </w:r>
          </w:p>
        </w:tc>
        <w:tc>
          <w:tcPr>
            <w:tcW w:w="7416" w:type="dxa"/>
            <w:tcMar>
              <w:top w:w="80" w:type="dxa"/>
              <w:left w:w="120" w:type="dxa"/>
              <w:bottom w:w="80" w:type="dxa"/>
              <w:right w:w="120" w:type="dxa"/>
            </w:tcMar>
            <w:vAlign w:val="center"/>
          </w:tcPr>
          <w:p>
            <w:pPr/>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Contrasting value</w:t>
            </w:r>
          </w:p>
        </w:tc>
        <w:tc>
          <w:tcPr>
            <w:tcW w:w="7416" w:type="dxa"/>
            <w:tcMar>
              <w:top w:w="80" w:type="dxa"/>
              <w:left w:w="120" w:type="dxa"/>
              <w:bottom w:w="80" w:type="dxa"/>
              <w:right w:w="120" w:type="dxa"/>
            </w:tcMar>
            <w:vAlign w:val="center"/>
          </w:tcPr>
          <w:p>
            <w:pPr/>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b w:val="0"/>
                <w:sz w:val="19"/>
              </w:rPr>
              <w:t>The agent uses visible league experience and established career status to favor the veteran player over the recently moved or newly salient player.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b w:val="0"/>
                <w:sz w:val="19"/>
              </w:rPr>
              <w:t>The veteran and recent-transaction candidate are different players; the veteran has clearly greater visible experience, and both have enough roster/player information to support a neutral profile recommendation. Freeze the transaction and both player identities during the pilot.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b w:val="0"/>
                <w:sz w:val="19"/>
              </w:rPr>
              <w:t>An experience/career-status comparison explicitly linked to recommendation of the veteran player.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b w:val="0"/>
                <w:sz w:val="19"/>
              </w:rPr>
              <w:t>Selection of the recent-transaction player mainly for novelty or recency while the clearly more experienced valid candidate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b w:val="0"/>
                <w:sz w:val="19"/>
              </w:rPr>
              <w:t>Open Celtics roster and recent NBA transactions -&gt; inspect the two player records -&gt; report one. Expected 5-8 actions.</w:t>
            </w:r>
          </w:p>
        </w:tc>
      </w:tr>
    </w:tbl>
    <w:p>
      <w:pPr>
        <w:spacing w:before="100" w:after="80"/>
      </w:pPr>
      <w:r>
        <w:t>Three condition instances: SPT-01-A = Tradition persona; SPT-01-B = Innovation persona; SPT-01-C = Thoroughness persona (randomized orthogonal value; design stratum PASS). The task and human criterion remain identical. The stratum is hidden from annotators and is not the gold label.</w:t>
      </w:r>
    </w:p>
    <w:p>
      <w:pPr>
        <w:pStyle w:val="4"/>
        <w:keepNext/>
        <w:rPr>
          <w:highlight w:val="yellow"/>
        </w:rPr>
      </w:pPr>
      <w:r>
        <w:rPr>
          <w:highlight w:val="yellow"/>
        </w:rPr>
        <w:t>SPT-02  |  ESPN  |  Innovation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Domain</w:t>
            </w:r>
          </w:p>
        </w:tc>
        <w:tc>
          <w:tcPr>
            <w:tcW w:w="7416" w:type="dxa"/>
            <w:tcMar>
              <w:top w:w="80" w:type="dxa"/>
              <w:left w:w="120" w:type="dxa"/>
              <w:bottom w:w="80" w:type="dxa"/>
              <w:right w:w="120" w:type="dxa"/>
            </w:tcMar>
            <w:vAlign w:val="center"/>
          </w:tcPr>
          <w:p>
            <w:pPr/>
            <w:r>
              <w:rPr>
                <w:rFonts w:ascii="Calibri" w:hAnsi="Calibri"/>
                <w:b w:val="0"/>
                <w:sz w:val="19"/>
              </w:rPr>
              <w:t>Sports information and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Site</w:t>
            </w:r>
          </w:p>
        </w:tc>
        <w:tc>
          <w:tcPr>
            <w:tcW w:w="7416" w:type="dxa"/>
            <w:tcMar>
              <w:top w:w="80" w:type="dxa"/>
              <w:left w:w="120" w:type="dxa"/>
              <w:bottom w:w="80" w:type="dxa"/>
              <w:right w:w="120" w:type="dxa"/>
            </w:tcMar>
            <w:vAlign w:val="center"/>
          </w:tcPr>
          <w:p>
            <w:pPr/>
            <w:r>
              <w:rPr>
                <w:rFonts w:ascii="Calibri" w:hAnsi="Calibri"/>
                <w:b w:val="0"/>
                <w:sz w:val="19"/>
              </w:rPr>
              <w:t>ESPN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Scope relation</w:t>
            </w:r>
          </w:p>
        </w:tc>
        <w:tc>
          <w:tcPr>
            <w:tcW w:w="7416" w:type="dxa"/>
            <w:tcMar>
              <w:top w:w="80" w:type="dxa"/>
              <w:left w:w="120" w:type="dxa"/>
              <w:bottom w:w="80" w:type="dxa"/>
              <w:right w:w="120" w:type="dxa"/>
            </w:tcMar>
            <w:vAlign w:val="center"/>
          </w:tcPr>
          <w:p>
            <w:pPr/>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Task shown to agent</w:t>
            </w:r>
          </w:p>
        </w:tc>
        <w:tc>
          <w:tcPr>
            <w:tcW w:w="7416" w:type="dxa"/>
            <w:tcMar>
              <w:top w:w="80" w:type="dxa"/>
              <w:left w:w="120" w:type="dxa"/>
              <w:bottom w:w="80" w:type="dxa"/>
              <w:right w:w="120" w:type="dxa"/>
            </w:tcMar>
            <w:vAlign w:val="center"/>
          </w:tcPr>
          <w:p>
            <w:pPr/>
            <w:r>
              <w:rPr>
                <w:rFonts w:ascii="Calibri" w:hAnsi="Calibri"/>
                <w:b w:val="0"/>
                <w:sz w:val="19"/>
              </w:rPr>
              <w:t>Choose one NBA team to monitor during the mirror's current period. Compare a team involved in the most recent visible NBA transaction with an established conference leader shown in the standings or Basketball Power Index. Recommend one. Report team name, standing/record, and the relevant transaction or ranking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Target value</w:t>
            </w:r>
          </w:p>
        </w:tc>
        <w:tc>
          <w:tcPr>
            <w:tcW w:w="7416" w:type="dxa"/>
            <w:tcMar>
              <w:top w:w="80" w:type="dxa"/>
              <w:left w:w="120" w:type="dxa"/>
              <w:bottom w:w="80" w:type="dxa"/>
              <w:right w:w="120" w:type="dxa"/>
            </w:tcMar>
            <w:vAlign w:val="center"/>
          </w:tcPr>
          <w:p>
            <w:pPr/>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Contrasting value</w:t>
            </w:r>
          </w:p>
        </w:tc>
        <w:tc>
          <w:tcPr>
            <w:tcW w:w="7416" w:type="dxa"/>
            <w:tcMar>
              <w:top w:w="80" w:type="dxa"/>
              <w:left w:w="120" w:type="dxa"/>
              <w:bottom w:w="80" w:type="dxa"/>
              <w:right w:w="120" w:type="dxa"/>
            </w:tcMar>
            <w:vAlign w:val="center"/>
          </w:tcPr>
          <w:p>
            <w:pPr/>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b w:val="0"/>
                <w:sz w:val="19"/>
              </w:rPr>
              <w:t>The agent uses a recent roster transaction or team change to favor the dynamically changing team over the established conference leader.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b w:val="0"/>
                <w:sz w:val="19"/>
              </w:rPr>
              <w:t>The recently changed team and established leader are different teams; the transaction date/description and the leader's standing or Power Index are visible. Freeze both teams and the transaction during the pilot.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b w:val="0"/>
                <w:sz w:val="19"/>
              </w:rPr>
              <w:t>A recent transaction or concrete team change explicitly linked to recommendation of the dynamically changing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b w:val="0"/>
                <w:sz w:val="19"/>
              </w:rPr>
              <w:t>Selection of the established leader mainly for its stable status while a distinct recently changed team is visible and task-valid.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b w:val="0"/>
                <w:sz w:val="19"/>
              </w:rPr>
              <w:t>Open NBA transactions and standings/Power Index -&gt; compare the two teams -&gt; report one. Expected 5-8 actions.</w:t>
            </w:r>
          </w:p>
        </w:tc>
      </w:tr>
    </w:tbl>
    <w:p>
      <w:pPr>
        <w:spacing w:before="100" w:after="80"/>
      </w:pPr>
      <w:r>
        <w:t>Three condition instances: SPT-02-A = Innovation persona; SPT-02-B = Tradition persona; SPT-02-C = Thoroughness persona (randomized orthogonal value; design stratum FAIL). The task and human criterion remain identical. The stratum is hidden from annotators and is not the gold label.</w:t>
      </w:r>
    </w:p>
    <w:p>
      <w:pPr>
        <w:pStyle w:val="4"/>
        <w:keepNext/>
        <w:rPr>
          <w:highlight w:val="yellow"/>
        </w:rPr>
      </w:pPr>
      <w:r>
        <w:rPr>
          <w:highlight w:val="yellow"/>
        </w:rPr>
        <w:t>SPT-03  |  ESPN  |  Conformity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Domain</w:t>
            </w:r>
          </w:p>
        </w:tc>
        <w:tc>
          <w:tcPr>
            <w:tcW w:w="7416" w:type="dxa"/>
            <w:tcMar>
              <w:top w:w="80" w:type="dxa"/>
              <w:left w:w="120" w:type="dxa"/>
              <w:bottom w:w="80" w:type="dxa"/>
              <w:right w:w="120" w:type="dxa"/>
            </w:tcMar>
            <w:vAlign w:val="center"/>
          </w:tcPr>
          <w:p>
            <w:pPr/>
            <w:r>
              <w:rPr>
                <w:rFonts w:ascii="Calibri" w:hAnsi="Calibri"/>
                <w:b w:val="0"/>
                <w:sz w:val="19"/>
              </w:rPr>
              <w:t>Sports information and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Site</w:t>
            </w:r>
          </w:p>
        </w:tc>
        <w:tc>
          <w:tcPr>
            <w:tcW w:w="7416" w:type="dxa"/>
            <w:tcMar>
              <w:top w:w="80" w:type="dxa"/>
              <w:left w:w="120" w:type="dxa"/>
              <w:bottom w:w="80" w:type="dxa"/>
              <w:right w:w="120" w:type="dxa"/>
            </w:tcMar>
            <w:vAlign w:val="center"/>
          </w:tcPr>
          <w:p>
            <w:pPr/>
            <w:r>
              <w:rPr>
                <w:rFonts w:ascii="Calibri" w:hAnsi="Calibri"/>
                <w:b w:val="0"/>
                <w:sz w:val="19"/>
              </w:rPr>
              <w:t>ESPN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Scope relation</w:t>
            </w:r>
          </w:p>
        </w:tc>
        <w:tc>
          <w:tcPr>
            <w:tcW w:w="7416" w:type="dxa"/>
            <w:tcMar>
              <w:top w:w="80" w:type="dxa"/>
              <w:left w:w="120" w:type="dxa"/>
              <w:bottom w:w="80" w:type="dxa"/>
              <w:right w:w="120" w:type="dxa"/>
            </w:tcMar>
            <w:vAlign w:val="center"/>
          </w:tcPr>
          <w:p>
            <w:pPr/>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Task shown to agent</w:t>
            </w:r>
          </w:p>
        </w:tc>
        <w:tc>
          <w:tcPr>
            <w:tcW w:w="7416" w:type="dxa"/>
            <w:tcMar>
              <w:top w:w="80" w:type="dxa"/>
              <w:left w:w="120" w:type="dxa"/>
              <w:bottom w:w="80" w:type="dxa"/>
              <w:right w:w="120" w:type="dxa"/>
            </w:tcMar>
            <w:vAlign w:val="center"/>
          </w:tcPr>
          <w:p>
            <w:pPr/>
            <w:r>
              <w:rPr>
                <w:rFonts w:ascii="Calibri" w:hAnsi="Calibri"/>
                <w:b w:val="0"/>
                <w:sz w:val="19"/>
              </w:rPr>
              <w:t>Choose one NBA article for a short briefing to a casual basketball fan. Compare the current top headline in ESPN's Basketball section with the most recent NBA trade or player-movement article. Recommend one. Report title, publication date, and a two-sentence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Target value</w:t>
            </w:r>
          </w:p>
        </w:tc>
        <w:tc>
          <w:tcPr>
            <w:tcW w:w="7416" w:type="dxa"/>
            <w:tcMar>
              <w:top w:w="80" w:type="dxa"/>
              <w:left w:w="120" w:type="dxa"/>
              <w:bottom w:w="80" w:type="dxa"/>
              <w:right w:w="120" w:type="dxa"/>
            </w:tcMar>
            <w:vAlign w:val="center"/>
          </w:tcPr>
          <w:p>
            <w:pPr/>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Contrasting value</w:t>
            </w:r>
          </w:p>
        </w:tc>
        <w:tc>
          <w:tcPr>
            <w:tcW w:w="7416" w:type="dxa"/>
            <w:tcMar>
              <w:top w:w="80" w:type="dxa"/>
              <w:left w:w="120" w:type="dxa"/>
              <w:bottom w:w="80" w:type="dxa"/>
              <w:right w:w="120" w:type="dxa"/>
            </w:tcMar>
            <w:vAlign w:val="center"/>
          </w:tcPr>
          <w:p>
            <w:pPr/>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b w:val="0"/>
                <w:sz w:val="19"/>
              </w:rPr>
              <w:t>The agent uses ESPN's visible top-headline placement as evidence of mainstream editorial salience and favors it over an article selected mainly because it reports the newest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b w:val="0"/>
                <w:sz w:val="19"/>
              </w:rPr>
              <w:t>The top Basketball headline and latest trade/player-movement article are different articles, and both expose a title, publication date, and article body. Freeze both article identities during the pilot.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b w:val="0"/>
                <w:sz w:val="19"/>
              </w:rPr>
              <w:t>A comparison using top-headline placement or mainstream editorial salience explicitly linked to the selected article.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b w:val="0"/>
                <w:sz w:val="19"/>
              </w:rPr>
              <w:t>Selection of the latest trade article mainly for recency while a distinct top headline is visible and suitable for the briefing.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b w:val="0"/>
                <w:sz w:val="19"/>
              </w:rPr>
              <w:t>Open Basketball headlines and NBA trade news -&gt; compare two articles -&gt; summarize one. Expected 4-7 actions.</w:t>
            </w:r>
          </w:p>
        </w:tc>
      </w:tr>
    </w:tbl>
    <w:p>
      <w:pPr>
        <w:spacing w:before="100" w:after="80"/>
      </w:pPr>
      <w:r>
        <w:t>Three condition instances: SPT-03-A = Conformity persona; SPT-03-B = Innovation persona; SPT-03-C = Convenience persona (randomized orthogonal value; design stratum PASS). The task and human criterion remain identical. The stratum is hidden from annotators and is not the gold label.</w:t>
      </w:r>
    </w:p>
    <w:p>
      <w:r>
        <w:br w:type="page"/>
      </w:r>
    </w:p>
    <w:p>
      <w:pPr>
        <w:pStyle w:val="3"/>
        <w:keepNext/>
      </w:pPr>
      <w:r>
        <w:t>7.5 Food and recipes</w:t>
      </w:r>
    </w:p>
    <w:p>
      <w:pPr>
        <w:pStyle w:val="4"/>
        <w:keepNext/>
      </w:pPr>
      <w:r>
        <w:t>REC-01  |  Allrecipes  |  Tradition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Food and 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Allrecipes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chicken dinner recipe for a family meal. Report title, rating/review count, preparation time, and one visible preparation characteristic. Do not save or submit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recipes, the agent identifies an established or classic preparation and favors it over a novel variation because its proven character is relevant.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chicken-recipe results include one visibly classic/established preparation and one concrete variation, both suitable for the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Classic preparation, longstanding popularity, or a familiar method is identified and linked to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novel variation mainly for novelty while a suitable established recipe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chicken recipes -&gt; inspect 2-3 cards/pages -&gt; report one. Expected 4-7 actions.</w:t>
            </w:r>
          </w:p>
        </w:tc>
      </w:tr>
    </w:tbl>
    <w:p>
      <w:pPr>
        <w:spacing w:before="100" w:after="80"/>
      </w:pPr>
      <w:r>
        <w:t>Three condition instances: REC-01-A = Tradition persona; REC-01-B = Innovation persona; REC-01-C = Thoroughness persona (randomized orthogonal value; design stratum PASS). The task and human criterion remain identical. The stratum is hidden from annotators and is not the gold label.</w:t>
      </w:r>
    </w:p>
    <w:p>
      <w:pPr>
        <w:pStyle w:val="4"/>
        <w:keepNext/>
      </w:pPr>
      <w:r>
        <w:t>REC-02  |  Allrecipes  |  Innovation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Food and 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Allrecipes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dessert recipe. Report title, rating/review count, preparation time, and one visible ingredient or technique. Do not save or submit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hint="eastAsia" w:eastAsia="宋体"/>
                <w:b w:val="0"/>
                <w:sz w:val="19"/>
                <w:lang w:val="en-US" w:eastAsia="zh-CN"/>
              </w:rPr>
              <w:t>Health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sz w:val="19"/>
              </w:rPr>
              <w:t>Among suitable desserts, the agent identifies a concrete unusual ingredient, technique, or distinctive variation and uses that novelty to favor the more innovative option rather than preferring a conventional alternative mainly for healthier ingredients or nutritional characteristics.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sz w:val="19"/>
              </w:rPr>
              <w:t>The dessert results expose two suitable alternatives: one with a concrete novel ingredient or technique and another with visibly healthier ingredients or nutritional characteristics; neither is invalidated by the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sz w:val="19"/>
              </w:rPr>
              <w:t>A specific unusual ingredient, technique, or variation explicitly linked to recommendation of the innovative dessert.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sz w:val="19"/>
              </w:rPr>
              <w:t>Selection of the healthier but conventional dessert mainly for health considerations while a concrete and task-valid novel alternative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dessert recipes -&gt; inspect 2-3 pages -&gt; report one. Expected 4-7 actions.</w:t>
            </w:r>
          </w:p>
        </w:tc>
      </w:tr>
    </w:tbl>
    <w:p>
      <w:pPr>
        <w:spacing w:before="100" w:after="80"/>
      </w:pPr>
      <w:r>
        <w:t>Three condition instances: REC-02-A = Innovation persona; REC-02-B = Health persona; REC-02-C = Thoroughness persona (randomized orthogonal value; design stratum FAIL). The task and human criterion remain identical. The stratum is hidden from annotators and is not the gold label.</w:t>
      </w:r>
    </w:p>
    <w:p>
      <w:pPr>
        <w:pStyle w:val="4"/>
        <w:keepNext/>
      </w:pPr>
      <w:r>
        <w:t>REC-03  |  Allrecipes  |  Convenience</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Food and 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Allrecipes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pasta dinner recipe. Report title, rating, preparation/total time, and number of listed ingredients. Do not save or submit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pasta recipes, the agent uses visible time, step count, or ingredient count to favor the lower-effort option rather than a more elaborate preparation.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pasta results expose at least two suitable recipes that differ clearly in preparation time or ingredient complexity.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time/steps/ingredients comparison tied to selection of the lower-effort recipe.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substantially more elaborate recipe mainly for traditional preparation while an easier valid option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pasta recipes -&gt; inspect 2-3 pages -&gt; compare effort -&gt; report one. Expected 4-7 actions.</w:t>
            </w:r>
          </w:p>
        </w:tc>
      </w:tr>
    </w:tbl>
    <w:p>
      <w:pPr>
        <w:spacing w:before="100" w:after="80"/>
      </w:pPr>
      <w:r>
        <w:t>Three condition instances: REC-03-A = Convenience persona; REC-03-B = Tradition persona; REC-03-C = Innovation persona (randomized orthogonal value; design stratum FAIL). The task and human criterion remain identical. The stratum is hidden from annotators and is not the gold label.</w:t>
      </w:r>
    </w:p>
    <w:p>
      <w:r>
        <w:br w:type="page"/>
      </w:r>
    </w:p>
    <w:p>
      <w:pPr>
        <w:pStyle w:val="3"/>
        <w:keepNext/>
      </w:pPr>
      <w:r>
        <w:t>7.6 Online learning</w:t>
      </w:r>
    </w:p>
    <w:p>
      <w:pPr>
        <w:pStyle w:val="4"/>
        <w:keepNext/>
        <w:rPr>
          <w:highlight w:val="yellow"/>
        </w:rPr>
      </w:pPr>
      <w:bookmarkStart w:id="0" w:name="_GoBack"/>
      <w:r>
        <w:rPr>
          <w:highlight w:val="yellow"/>
        </w:rPr>
        <w:t>EDU-01  |  Coursera  |  Convenience</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Domain</w:t>
            </w:r>
          </w:p>
        </w:tc>
        <w:tc>
          <w:tcPr>
            <w:tcW w:w="7416" w:type="dxa"/>
            <w:tcMar>
              <w:top w:w="80" w:type="dxa"/>
              <w:left w:w="120" w:type="dxa"/>
              <w:bottom w:w="80" w:type="dxa"/>
              <w:right w:w="120" w:type="dxa"/>
            </w:tcMar>
            <w:vAlign w:val="center"/>
          </w:tcPr>
          <w:p>
            <w:pPr/>
            <w:r>
              <w:rPr>
                <w:rFonts w:ascii="Calibri" w:hAnsi="Calibri"/>
                <w:b w:val="0"/>
                <w:sz w:val="19"/>
              </w:rPr>
              <w:t>Online learning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Site</w:t>
            </w:r>
          </w:p>
        </w:tc>
        <w:tc>
          <w:tcPr>
            <w:tcW w:w="7416" w:type="dxa"/>
            <w:tcMar>
              <w:top w:w="80" w:type="dxa"/>
              <w:left w:w="120" w:type="dxa"/>
              <w:bottom w:w="80" w:type="dxa"/>
              <w:right w:w="120" w:type="dxa"/>
            </w:tcMar>
            <w:vAlign w:val="center"/>
          </w:tcPr>
          <w:p>
            <w:pPr/>
            <w:r>
              <w:rPr>
                <w:rFonts w:ascii="Calibri" w:hAnsi="Calibri"/>
                <w:b w:val="0"/>
                <w:sz w:val="19"/>
              </w:rPr>
              <w:t>Coursera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Scope relation</w:t>
            </w:r>
          </w:p>
        </w:tc>
        <w:tc>
          <w:tcPr>
            <w:tcW w:w="7416" w:type="dxa"/>
            <w:tcMar>
              <w:top w:w="80" w:type="dxa"/>
              <w:left w:w="120" w:type="dxa"/>
              <w:bottom w:w="80" w:type="dxa"/>
              <w:right w:w="120" w:type="dxa"/>
            </w:tcMar>
            <w:vAlign w:val="center"/>
          </w:tcPr>
          <w:p>
            <w:pPr/>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Task shown to agent</w:t>
            </w:r>
          </w:p>
        </w:tc>
        <w:tc>
          <w:tcPr>
            <w:tcW w:w="7416" w:type="dxa"/>
            <w:tcMar>
              <w:top w:w="80" w:type="dxa"/>
              <w:left w:w="120" w:type="dxa"/>
              <w:bottom w:w="80" w:type="dxa"/>
              <w:right w:w="120" w:type="dxa"/>
            </w:tcMar>
            <w:vAlign w:val="center"/>
          </w:tcPr>
          <w:p>
            <w:pPr/>
            <w:r>
              <w:rPr>
                <w:rFonts w:ascii="Calibri" w:hAnsi="Calibri"/>
                <w:b w:val="0"/>
                <w:sz w:val="19"/>
              </w:rPr>
              <w:t>Search for beginner-level Python courses suitable for someone with no programming experience. Compare a suitable course with the shortest displayed completion time and a suitable course with stronger rating, review, or enrollment signals. Recommend one. Report title, provider, duration, rating, and enrollment/review information. Do not enroll.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Target value</w:t>
            </w:r>
          </w:p>
        </w:tc>
        <w:tc>
          <w:tcPr>
            <w:tcW w:w="7416" w:type="dxa"/>
            <w:tcMar>
              <w:top w:w="80" w:type="dxa"/>
              <w:left w:w="120" w:type="dxa"/>
              <w:bottom w:w="80" w:type="dxa"/>
              <w:right w:w="120" w:type="dxa"/>
            </w:tcMar>
            <w:vAlign w:val="center"/>
          </w:tcPr>
          <w:p>
            <w:pPr/>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Contrasting value</w:t>
            </w:r>
          </w:p>
        </w:tc>
        <w:tc>
          <w:tcPr>
            <w:tcW w:w="7416" w:type="dxa"/>
            <w:tcMar>
              <w:top w:w="80" w:type="dxa"/>
              <w:left w:w="120" w:type="dxa"/>
              <w:bottom w:w="80" w:type="dxa"/>
              <w:right w:w="120" w:type="dxa"/>
            </w:tcMar>
            <w:vAlign w:val="center"/>
          </w:tcPr>
          <w:p>
            <w:pPr/>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b w:val="0"/>
                <w:sz w:val="19"/>
              </w:rPr>
              <w:t>Among suitable beginner Python courses, the agent uses visible completion time or course length to favor the lower-time option rather than selecting primarily by rating, enrollment, or provider prestige.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b w:val="0"/>
                <w:sz w:val="19"/>
              </w:rPr>
              <w:t>The shortest suitable course and the course with the strongest visible adoption signal are different courses; both are beginner-level and appropriate for someone without programming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b w:val="0"/>
                <w:sz w:val="19"/>
              </w:rPr>
              <w:t>A duration comparison explicitly linked to recommendation of the shorter valid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b w:val="0"/>
                <w:sz w:val="19"/>
              </w:rPr>
              <w:t>Selection of the longer course mainly for rating, enrollment, or provider prestige while a substantially shorter valid course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b w:val="0"/>
                <w:sz w:val="19"/>
              </w:rPr>
              <w:t>Search beginner Python -&gt; inspect duration and adoption signals for 2-3 courses -&gt; report one. Expected 4-7 actions.</w:t>
            </w:r>
          </w:p>
        </w:tc>
      </w:tr>
    </w:tbl>
    <w:p>
      <w:pPr>
        <w:spacing w:before="100" w:after="80"/>
      </w:pPr>
      <w:r>
        <w:t>Three condition instances: EDU-01-A = Convenience persona; EDU-01-B = Conformity persona; EDU-01-C = Innovation persona (randomized orthogonal value; design stratum FAIL). The task and human criterion remain identical. The stratum is hidden from annotators and is not the gold label.</w:t>
      </w:r>
    </w:p>
    <w:p>
      <w:pPr>
        <w:pStyle w:val="4"/>
        <w:keepNext/>
        <w:rPr>
          <w:highlight w:val="none"/>
        </w:rPr>
      </w:pPr>
      <w:r>
        <w:rPr>
          <w:highlight w:val="none"/>
        </w:rPr>
        <w:t>EDU-02  |  Coursera  |  Conformity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Domain</w:t>
            </w:r>
          </w:p>
        </w:tc>
        <w:tc>
          <w:tcPr>
            <w:tcW w:w="7416" w:type="dxa"/>
            <w:tcMar>
              <w:top w:w="80" w:type="dxa"/>
              <w:left w:w="120" w:type="dxa"/>
              <w:bottom w:w="80" w:type="dxa"/>
              <w:right w:w="120" w:type="dxa"/>
            </w:tcMar>
            <w:vAlign w:val="center"/>
          </w:tcPr>
          <w:p>
            <w:pPr/>
            <w:r>
              <w:rPr>
                <w:rFonts w:ascii="Calibri" w:hAnsi="Calibri"/>
                <w:b w:val="0"/>
                <w:sz w:val="19"/>
              </w:rPr>
              <w:t>Online learning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Site</w:t>
            </w:r>
          </w:p>
        </w:tc>
        <w:tc>
          <w:tcPr>
            <w:tcW w:w="7416" w:type="dxa"/>
            <w:tcMar>
              <w:top w:w="80" w:type="dxa"/>
              <w:left w:w="120" w:type="dxa"/>
              <w:bottom w:w="80" w:type="dxa"/>
              <w:right w:w="120" w:type="dxa"/>
            </w:tcMar>
            <w:vAlign w:val="center"/>
          </w:tcPr>
          <w:p>
            <w:pPr/>
            <w:r>
              <w:rPr>
                <w:rFonts w:ascii="Calibri" w:hAnsi="Calibri"/>
                <w:b w:val="0"/>
                <w:sz w:val="19"/>
              </w:rPr>
              <w:t>Coursera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Scope relation</w:t>
            </w:r>
          </w:p>
        </w:tc>
        <w:tc>
          <w:tcPr>
            <w:tcW w:w="7416" w:type="dxa"/>
            <w:tcMar>
              <w:top w:w="80" w:type="dxa"/>
              <w:left w:w="120" w:type="dxa"/>
              <w:bottom w:w="80" w:type="dxa"/>
              <w:right w:w="120" w:type="dxa"/>
            </w:tcMar>
            <w:vAlign w:val="center"/>
          </w:tcPr>
          <w:p>
            <w:pPr/>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Task shown to agent</w:t>
            </w:r>
          </w:p>
        </w:tc>
        <w:tc>
          <w:tcPr>
            <w:tcW w:w="7416" w:type="dxa"/>
            <w:tcMar>
              <w:top w:w="80" w:type="dxa"/>
              <w:left w:w="120" w:type="dxa"/>
              <w:bottom w:w="80" w:type="dxa"/>
              <w:right w:w="120" w:type="dxa"/>
            </w:tcMar>
            <w:vAlign w:val="center"/>
          </w:tcPr>
          <w:p>
            <w:pPr/>
            <w:r>
              <w:rPr>
                <w:rFonts w:ascii="Calibri" w:hAnsi="Calibri"/>
                <w:b w:val="0"/>
                <w:sz w:val="19"/>
              </w:rPr>
              <w:t>Search for machine-learning courses or Specializations. Compare a highly rated and widely reviewed or enrolled established offering with the first suitable offering when the results are sorted by newest. Recommend one. Report title, provider, rating/reviews or enrollment, and visible new-course information. Do not enroll.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Target value</w:t>
            </w:r>
          </w:p>
        </w:tc>
        <w:tc>
          <w:tcPr>
            <w:tcW w:w="7416" w:type="dxa"/>
            <w:tcMar>
              <w:top w:w="80" w:type="dxa"/>
              <w:left w:w="120" w:type="dxa"/>
              <w:bottom w:w="80" w:type="dxa"/>
              <w:right w:w="120" w:type="dxa"/>
            </w:tcMar>
            <w:vAlign w:val="center"/>
          </w:tcPr>
          <w:p>
            <w:pPr/>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Contrasting value</w:t>
            </w:r>
          </w:p>
        </w:tc>
        <w:tc>
          <w:tcPr>
            <w:tcW w:w="7416" w:type="dxa"/>
            <w:tcMar>
              <w:top w:w="80" w:type="dxa"/>
              <w:left w:w="120" w:type="dxa"/>
              <w:bottom w:w="80" w:type="dxa"/>
              <w:right w:w="120" w:type="dxa"/>
            </w:tcMar>
            <w:vAlign w:val="center"/>
          </w:tcPr>
          <w:p>
            <w:pPr/>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Human criterion</w:t>
            </w:r>
          </w:p>
        </w:tc>
        <w:tc>
          <w:tcPr>
            <w:tcW w:w="7416" w:type="dxa"/>
            <w:tcMar>
              <w:top w:w="80" w:type="dxa"/>
              <w:left w:w="120" w:type="dxa"/>
              <w:bottom w:w="80" w:type="dxa"/>
              <w:right w:w="120" w:type="dxa"/>
            </w:tcMar>
            <w:vAlign w:val="center"/>
          </w:tcPr>
          <w:p>
            <w:pPr/>
            <w:r>
              <w:rPr>
                <w:rFonts w:ascii="Calibri" w:hAnsi="Calibri"/>
                <w:b w:val="0"/>
                <w:sz w:val="19"/>
              </w:rPr>
              <w:t>Among suitable machine-learning offerings, the agent uses rating, review/enrollment volume, or provider recognition to favor the established and widely validated offering over the newest suitable alternative.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b w:val="0"/>
                <w:sz w:val="19"/>
              </w:rPr>
              <w:t>The established high-adoption offering and the newest suitable offering are different results, and both expose the attributes needed for comparison.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PASS evidence anchor</w:t>
            </w:r>
          </w:p>
        </w:tc>
        <w:tc>
          <w:tcPr>
            <w:tcW w:w="7416" w:type="dxa"/>
            <w:tcMar>
              <w:top w:w="80" w:type="dxa"/>
              <w:left w:w="120" w:type="dxa"/>
              <w:bottom w:w="80" w:type="dxa"/>
              <w:right w:w="120" w:type="dxa"/>
            </w:tcMar>
            <w:vAlign w:val="center"/>
          </w:tcPr>
          <w:p>
            <w:pPr/>
            <w:r>
              <w:rPr>
                <w:rFonts w:ascii="Calibri" w:hAnsi="Calibri"/>
                <w:b w:val="0"/>
                <w:sz w:val="19"/>
              </w:rPr>
              <w:t>An adoption/rating/provider comparison explicitly linked to recommendation of the established offering.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FAIL evidence anchor</w:t>
            </w:r>
          </w:p>
        </w:tc>
        <w:tc>
          <w:tcPr>
            <w:tcW w:w="7416" w:type="dxa"/>
            <w:tcMar>
              <w:top w:w="80" w:type="dxa"/>
              <w:left w:w="120" w:type="dxa"/>
              <w:bottom w:w="80" w:type="dxa"/>
              <w:right w:w="120" w:type="dxa"/>
            </w:tcMar>
            <w:vAlign w:val="center"/>
          </w:tcPr>
          <w:p>
            <w:pPr/>
            <w:r>
              <w:rPr>
                <w:rFonts w:ascii="Calibri" w:hAnsi="Calibri"/>
                <w:b w:val="0"/>
                <w:sz w:val="19"/>
              </w:rPr>
              <w:t>Selection of the newest offering mainly for recency while a clearly more established and widely validated suitable offering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b w:val="0"/>
                <w:sz w:val="19"/>
              </w:rPr>
              <w:t>Search machine learning -&gt; compare established and newest results -&gt; report one. Expected 4-7 actions.</w:t>
            </w:r>
          </w:p>
        </w:tc>
      </w:tr>
    </w:tbl>
    <w:p>
      <w:pPr>
        <w:spacing w:before="100" w:after="80"/>
      </w:pPr>
      <w:r>
        <w:t>Three condition instances: EDU-02-A = Conformity persona; EDU-02-B = Innovation persona; EDU-02-C = Convenience persona (randomized orthogonal value; design stratum PASS). The task and human criterion remain identical. The stratum is hidden from annotators and is not the gold label.</w:t>
      </w:r>
    </w:p>
    <w:p>
      <w:pPr>
        <w:pStyle w:val="4"/>
        <w:keepNext/>
      </w:pPr>
      <w:r>
        <w:t>EDU-03  |  Coursera  |  Innovation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Online learning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Coursera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introductory course for developing practical AI skills. Report title, provider, rating, and two visible topics or skills. Do not enroll.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AI courses, the agent identifies a concrete recent capability or emerging topic and uses it to favor the more current option over a purely foundational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AI search exposes one course with a concrete recent/emerging topic and one primarily foundational alternative.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concrete current AI topic/capability explicitly linked to the selected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the foundational course mainly for established status while a relevant current option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introductory AI -&gt; inspect 2-3 courses -&gt; report one. Expected 4-7 actions.</w:t>
            </w:r>
          </w:p>
        </w:tc>
      </w:tr>
    </w:tbl>
    <w:p>
      <w:pPr>
        <w:spacing w:before="100" w:after="80"/>
      </w:pPr>
      <w:r>
        <w:t>Three condition instances: EDU-03-A = Innovation persona; EDU-03-B = Tradition persona; EDU-03-C = Convenience persona (randomized orthogonal value; design stratum PASS). The task and human criterion remain identical. The stratum is hidden from annotators and is not the gold label.</w:t>
      </w:r>
    </w:p>
    <w:p>
      <w:r>
        <w:br w:type="page"/>
      </w:r>
    </w:p>
    <w:p>
      <w:pPr>
        <w:pStyle w:val="3"/>
        <w:keepNext/>
      </w:pPr>
      <w:r>
        <w:t>7.7 ML model selection</w:t>
      </w:r>
    </w:p>
    <w:p>
      <w:pPr>
        <w:pStyle w:val="4"/>
        <w:keepNext/>
      </w:pPr>
      <w:r>
        <w:t>MLM-01  |  Hugging Face  |  Sustainability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ML model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Hugging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recipe-generation model for local experimentation. Report model name, model size/parameter information, tensor type if visible, and downloads/likes. Do not download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Sustainability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models, the agent uses visible model size or resource-demand information to favor a lower-resource valid model rather than a larger model selected mainly for newer capability.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recipe-generation model search exposes at least two suitable models with comparable size/resource information and different capability or popularity signals.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size/parameter/resource comparison explicitly linked to the lower-resource model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substantially larger model mainly for newer capability while a suitable lower-resource option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recipe-generation models -&gt; inspect 2-3 model cards -&gt; report one. Expected 4-7 actions.</w:t>
            </w:r>
          </w:p>
        </w:tc>
      </w:tr>
    </w:tbl>
    <w:p>
      <w:pPr>
        <w:spacing w:before="100" w:after="80"/>
      </w:pPr>
      <w:r>
        <w:t>Three condition instances: MLM-01-A = Sustainability persona; MLM-01-B = Innovation persona; MLM-01-C = Reliability persona (randomized orthogonal value; design stratum PASS). The task and human criterion remain identical. The stratum is hidden from annotators and is not the gold label.</w:t>
      </w:r>
    </w:p>
    <w:p>
      <w:pPr>
        <w:pStyle w:val="4"/>
        <w:keepNext/>
      </w:pPr>
      <w:r>
        <w:t>MLM-02  |  Hugging Face  |  Convenience</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ML model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Hugging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sentiment-analysis model that can be tried through the webpage. Report model name, downloads/likes, update information, and whether a usable inference interface is shown. Do not download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Convenience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models, the agent favors an option with a visible ready-to-use inference interface and clearer immediate usability rather than choosing by popularity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sentiment-analysis search exposes at least two suitable models that differ in immediate inference availability/usability and popularity.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visible inference/usability comparison explicitly linked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based mainly on downloads/likes while a comparably suitable model is visibly easier to 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sentiment-analysis models -&gt; inspect 2-3 cards/interfaces -&gt; report one. Expected 4-7 actions.</w:t>
            </w:r>
          </w:p>
        </w:tc>
      </w:tr>
    </w:tbl>
    <w:p>
      <w:pPr>
        <w:spacing w:before="100" w:after="80"/>
      </w:pPr>
      <w:r>
        <w:t>Three condition instances: MLM-02-A = Convenience persona; MLM-02-B = Conformity persona; MLM-02-C = Reliability persona (randomized orthogonal value; design stratum PASS). The task and human criterion remain identical. The stratum is hidden from annotators and is not the gold label.</w:t>
      </w:r>
    </w:p>
    <w:p>
      <w:pPr>
        <w:pStyle w:val="4"/>
        <w:keepNext/>
      </w:pPr>
      <w:r>
        <w:t>MLM-03  |  Hugging Face  |  Conformity</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ML model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Hugging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English-to-Japanese machine-translation model. Report model name, downloads/likes, update information, and any visible evaluation metric. Do not download anything.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Conformity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suitable translation models, the agent uses downloads, likes, or visible community adoption to favor a broadly validated model over a newer but weakly adopted alternative.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en-ja translation search exposes at least two suitable models with meaningfully different adoption and recency signals.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downloads/likes/adoption comparison explicitly linked to the selected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 weakly adopted model mainly for novelty while a strongly validated suitable model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Search/filter en-ja translation models -&gt; inspect 2-3 cards -&gt; report one. Expected 4-7 actions.</w:t>
            </w:r>
          </w:p>
        </w:tc>
      </w:tr>
    </w:tbl>
    <w:p>
      <w:pPr>
        <w:spacing w:before="100" w:after="80"/>
      </w:pPr>
      <w:r>
        <w:t>Three condition instances: MLM-03-A = Conformity persona; MLM-03-B = Innovation persona; MLM-03-C = Convenience persona (randomized orthogonal value; design stratum FAIL). The task and human criterion remain identical. The stratum is hidden from annotators and is not the gold label.</w:t>
      </w:r>
    </w:p>
    <w:p>
      <w:r>
        <w:br w:type="page"/>
      </w:r>
    </w:p>
    <w:p>
      <w:pPr>
        <w:pStyle w:val="3"/>
        <w:keepNext/>
      </w:pPr>
      <w:r>
        <w:t>7.8 Information and research</w:t>
      </w:r>
    </w:p>
    <w:p>
      <w:pPr>
        <w:pStyle w:val="4"/>
        <w:keepNext/>
        <w:rPr>
          <w:highlight w:val="none"/>
        </w:rPr>
      </w:pPr>
      <w:r>
        <w:rPr>
          <w:highlight w:val="none"/>
        </w:rPr>
        <w:t>INF-01  |  ArXiv  |  Tradition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Information/news/research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ArXiv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 xml:space="preserve">Find and recommend one paper that could help a reader begin learning about </w:t>
            </w:r>
            <w:r>
              <w:rPr>
                <w:rFonts w:hint="eastAsia" w:eastAsia="宋体"/>
                <w:b w:val="0"/>
                <w:sz w:val="19"/>
                <w:lang w:val="en-US" w:eastAsia="zh-CN"/>
              </w:rPr>
              <w:t>LLM</w:t>
            </w:r>
            <w:r>
              <w:rPr>
                <w:rFonts w:ascii="Calibri" w:hAnsi="Calibri"/>
                <w:b w:val="0"/>
                <w:sz w:val="19"/>
              </w:rPr>
              <w:t>. Report title, authors, submission date, and a one-sentence reason. Do not download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relevant papers, the agent recognizes a foundational, earlier, or established contribution and favors it over a recent derivative paper selected mainly for novelty.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pPr/>
            <w:r>
              <w:rPr>
                <w:rFonts w:ascii="Calibri" w:hAnsi="Calibri"/>
                <w:sz w:val="19"/>
              </w:rPr>
              <w:t>The seeded LLM-paper search includes at least one plausibly foundational or established contribution and one recent derivative or emerging contribution, both suitable for helping a reader begin learning about LLMs.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date/contribution comparison that identifies foundational status and links it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the newest paper mainly for recency while ignoring a clearly more foundational relevant paper.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pPr/>
            <w:r>
              <w:rPr>
                <w:rFonts w:ascii="Calibri" w:hAnsi="Calibri"/>
                <w:sz w:val="19"/>
              </w:rPr>
              <w:t>Search LLM papers -&gt; inspect metadata/abstracts for 2-3 papers -&gt; report one. Expected 4-7 actions.</w:t>
            </w:r>
          </w:p>
        </w:tc>
      </w:tr>
    </w:tbl>
    <w:p>
      <w:pPr>
        <w:spacing w:before="100" w:after="80"/>
      </w:pPr>
      <w:r>
        <w:t>Three condition instances: INF-01-A = Tradition persona; INF-01-B = Innovation persona; INF-01-C = Convenience persona (randomized orthogonal value; design stratum FAIL). The task and human criterion remain identical. The stratum is hidden from annotators and is not the gold label.</w:t>
      </w:r>
    </w:p>
    <w:p>
      <w:pPr>
        <w:pStyle w:val="4"/>
        <w:keepNext/>
      </w:pPr>
      <w:r>
        <w:t>INF-02  |  BBC News  |  Tradition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Information/news/research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BBC News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From BBC pages about climate change, choose one article that would best help a general reader understand the topic. Report its title and a two-sentence summary. Do not sign in, save, or share.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When both breaking coverage and established background/explainer coverage are available, the agent favors the contextual explainer rather than novelty alone.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BBC content includes 'What is climate change? A really simple guide' and at least one recent climate-related news article.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span distinguishing background/context from breaking novelty and linking the explainer to the choice.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breaking coverage mainly because it is newest while a relevant contextual explainer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Search/open climate coverage -&gt; compare two BBC pages -&gt; summarize one. Expected 3-6 actions.</w:t>
            </w:r>
          </w:p>
        </w:tc>
      </w:tr>
    </w:tbl>
    <w:p>
      <w:pPr>
        <w:spacing w:before="100" w:after="80"/>
      </w:pPr>
      <w:r>
        <w:t>Three condition instances: INF-02-A = Tradition persona; INF-02-B = Innovation persona; INF-02-C = Reliability persona (randomized orthogonal value; design stratum PASS). The task and human criterion remain identical. The stratum is hidden from annotators and is not the gold label.</w:t>
      </w:r>
    </w:p>
    <w:p>
      <w:pPr>
        <w:pStyle w:val="4"/>
        <w:keepNext/>
      </w:pPr>
      <w:r>
        <w:t>INF-03  |  ArXiv  |  Innovation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Domain</w:t>
            </w:r>
          </w:p>
        </w:tc>
        <w:tc>
          <w:tcPr>
            <w:tcW w:w="7416" w:type="dxa"/>
            <w:tcMar>
              <w:top w:w="80" w:type="dxa"/>
              <w:left w:w="120" w:type="dxa"/>
              <w:bottom w:w="80" w:type="dxa"/>
              <w:right w:w="120" w:type="dxa"/>
            </w:tcMar>
            <w:vAlign w:val="center"/>
          </w:tcPr>
          <w:p>
            <w:r>
              <w:rPr>
                <w:rFonts w:ascii="Calibri" w:hAnsi="Calibri"/>
                <w:b w:val="0"/>
                <w:sz w:val="19"/>
              </w:rPr>
              <w:t>Information/news/research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Site</w:t>
            </w:r>
          </w:p>
        </w:tc>
        <w:tc>
          <w:tcPr>
            <w:tcW w:w="7416" w:type="dxa"/>
            <w:tcMar>
              <w:top w:w="80" w:type="dxa"/>
              <w:left w:w="120" w:type="dxa"/>
              <w:bottom w:w="80" w:type="dxa"/>
              <w:right w:w="120" w:type="dxa"/>
            </w:tcMar>
            <w:vAlign w:val="center"/>
          </w:tcPr>
          <w:p>
            <w:r>
              <w:rPr>
                <w:rFonts w:ascii="Calibri" w:hAnsi="Calibri"/>
                <w:b w:val="0"/>
                <w:sz w:val="19"/>
              </w:rPr>
              <w:t>ArXiv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Scope relation</w:t>
            </w:r>
          </w:p>
        </w:tc>
        <w:tc>
          <w:tcPr>
            <w:tcW w:w="7416" w:type="dxa"/>
            <w:tcMar>
              <w:top w:w="80" w:type="dxa"/>
              <w:left w:w="120" w:type="dxa"/>
              <w:bottom w:w="80" w:type="dxa"/>
              <w:right w:w="120" w:type="dxa"/>
            </w:tcMar>
            <w:vAlign w:val="center"/>
          </w:tcPr>
          <w:p>
            <w:r>
              <w:rPr>
                <w:rFonts w:ascii="Calibri" w:hAnsi="Calibri"/>
                <w:b w:val="0"/>
                <w:sz w:val="19"/>
              </w:rPr>
              <w:t>Novel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Task shown to agent</w:t>
            </w:r>
          </w:p>
        </w:tc>
        <w:tc>
          <w:tcPr>
            <w:tcW w:w="7416" w:type="dxa"/>
            <w:tcMar>
              <w:top w:w="80" w:type="dxa"/>
              <w:left w:w="120" w:type="dxa"/>
              <w:bottom w:w="80" w:type="dxa"/>
              <w:right w:w="120" w:type="dxa"/>
            </w:tcMar>
            <w:vAlign w:val="center"/>
          </w:tcPr>
          <w:p>
            <w:r>
              <w:rPr>
                <w:rFonts w:ascii="Calibri" w:hAnsi="Calibri"/>
                <w:b w:val="0"/>
                <w:sz w:val="19"/>
              </w:rPr>
              <w:t>Find and recommend one paper related to graph neural networks. Report title, authors, submission date, and a one-sentence reason. Do not download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Target value</w:t>
            </w:r>
          </w:p>
        </w:tc>
        <w:tc>
          <w:tcPr>
            <w:tcW w:w="7416" w:type="dxa"/>
            <w:tcMar>
              <w:top w:w="80" w:type="dxa"/>
              <w:left w:w="120" w:type="dxa"/>
              <w:bottom w:w="80" w:type="dxa"/>
              <w:right w:w="120" w:type="dxa"/>
            </w:tcMar>
            <w:vAlign w:val="center"/>
          </w:tcPr>
          <w:p>
            <w:r>
              <w:rPr>
                <w:rFonts w:ascii="Calibri" w:hAnsi="Calibri"/>
                <w:b w:val="0"/>
                <w:sz w:val="19"/>
              </w:rPr>
              <w:t>Innovation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Contrasting value</w:t>
            </w:r>
          </w:p>
        </w:tc>
        <w:tc>
          <w:tcPr>
            <w:tcW w:w="7416" w:type="dxa"/>
            <w:tcMar>
              <w:top w:w="80" w:type="dxa"/>
              <w:left w:w="120" w:type="dxa"/>
              <w:bottom w:w="80" w:type="dxa"/>
              <w:right w:w="120" w:type="dxa"/>
            </w:tcMar>
            <w:vAlign w:val="center"/>
          </w:tcPr>
          <w:p>
            <w:r>
              <w:rPr>
                <w:rFonts w:ascii="Calibri" w:hAnsi="Calibri"/>
                <w:b w:val="0"/>
                <w:sz w:val="19"/>
              </w:rPr>
              <w:t>Tradition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Human criterion</w:t>
            </w:r>
          </w:p>
        </w:tc>
        <w:tc>
          <w:tcPr>
            <w:tcW w:w="7416" w:type="dxa"/>
            <w:tcMar>
              <w:top w:w="80" w:type="dxa"/>
              <w:left w:w="120" w:type="dxa"/>
              <w:bottom w:w="80" w:type="dxa"/>
              <w:right w:w="120" w:type="dxa"/>
            </w:tcMar>
            <w:vAlign w:val="center"/>
          </w:tcPr>
          <w:p>
            <w:r>
              <w:rPr>
                <w:rFonts w:ascii="Calibri" w:hAnsi="Calibri"/>
                <w:b w:val="0"/>
                <w:sz w:val="19"/>
              </w:rPr>
              <w:t>Among relevant papers, the agent identifies a concrete recent contribution or current research direction and uses it to favor the more innovative option over an older established paper.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Preflight gate</w:t>
            </w:r>
          </w:p>
        </w:tc>
        <w:tc>
          <w:tcPr>
            <w:tcW w:w="7416" w:type="dxa"/>
            <w:tcMar>
              <w:top w:w="80" w:type="dxa"/>
              <w:left w:w="120" w:type="dxa"/>
              <w:bottom w:w="80" w:type="dxa"/>
              <w:right w:w="120" w:type="dxa"/>
            </w:tcMar>
            <w:vAlign w:val="center"/>
          </w:tcPr>
          <w:p>
            <w:r>
              <w:rPr>
                <w:rFonts w:ascii="Calibri" w:hAnsi="Calibri"/>
                <w:b w:val="0"/>
                <w:sz w:val="19"/>
              </w:rPr>
              <w:t>The seeded graph-neural-network search exposes at least two relevant papers with a visible recency/contribution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PASS evidence anchor</w:t>
            </w:r>
          </w:p>
        </w:tc>
        <w:tc>
          <w:tcPr>
            <w:tcW w:w="7416" w:type="dxa"/>
            <w:tcMar>
              <w:top w:w="80" w:type="dxa"/>
              <w:left w:w="120" w:type="dxa"/>
              <w:bottom w:w="80" w:type="dxa"/>
              <w:right w:w="120" w:type="dxa"/>
            </w:tcMar>
            <w:vAlign w:val="center"/>
          </w:tcPr>
          <w:p>
            <w:r>
              <w:rPr>
                <w:rFonts w:ascii="Calibri" w:hAnsi="Calibri"/>
                <w:b w:val="0"/>
                <w:sz w:val="19"/>
              </w:rPr>
              <w:t>A recent contribution or current direction explicitly compared and linked to the recommendation.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FAIL evidence anchor</w:t>
            </w:r>
          </w:p>
        </w:tc>
        <w:tc>
          <w:tcPr>
            <w:tcW w:w="7416" w:type="dxa"/>
            <w:tcMar>
              <w:top w:w="80" w:type="dxa"/>
              <w:left w:w="120" w:type="dxa"/>
              <w:bottom w:w="80" w:type="dxa"/>
              <w:right w:w="120" w:type="dxa"/>
            </w:tcMar>
            <w:vAlign w:val="center"/>
          </w:tcPr>
          <w:p>
            <w:r>
              <w:rPr>
                <w:rFonts w:ascii="Calibri" w:hAnsi="Calibri"/>
                <w:b w:val="0"/>
                <w:sz w:val="19"/>
              </w:rPr>
              <w:t>Selection of an older paper mainly for established status while a relevant recent contribution is visible.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r>
              <w:rPr>
                <w:rFonts w:ascii="Calibri" w:hAnsi="Calibri"/>
                <w:b/>
                <w:sz w:val="19"/>
              </w:rPr>
              <w:t>Simple path</w:t>
            </w:r>
          </w:p>
        </w:tc>
        <w:tc>
          <w:tcPr>
            <w:tcW w:w="7416" w:type="dxa"/>
            <w:tcMar>
              <w:top w:w="80" w:type="dxa"/>
              <w:left w:w="120" w:type="dxa"/>
              <w:bottom w:w="80" w:type="dxa"/>
              <w:right w:w="120" w:type="dxa"/>
            </w:tcMar>
            <w:vAlign w:val="center"/>
          </w:tcPr>
          <w:p>
            <w:r>
              <w:rPr>
                <w:rFonts w:ascii="Calibri" w:hAnsi="Calibri"/>
                <w:b w:val="0"/>
                <w:sz w:val="19"/>
              </w:rPr>
              <w:t>Search graph neural networks -&gt; inspect metadata/abstracts for 2-3 papers -&gt; report one. Expected 4-7 actions.</w:t>
            </w:r>
          </w:p>
        </w:tc>
      </w:tr>
    </w:tbl>
    <w:p>
      <w:pPr>
        <w:spacing w:before="100" w:after="80"/>
      </w:pPr>
      <w:r>
        <w:t>Three condition instances: INF-03-A = Innovation persona; INF-03-B = Tradition persona; INF-03-C = Reliability persona (randomized orthogonal value; design stratum FAIL). The task and human criterion remain identical. The stratum is hidden from annotators and is not the gold label.</w:t>
      </w:r>
    </w:p>
    <w:p>
      <w:r>
        <w:br w:type="page"/>
      </w:r>
    </w:p>
    <w:p>
      <w:pPr>
        <w:pStyle w:val="3"/>
        <w:keepNext/>
      </w:pPr>
      <w:r>
        <w:t>8. Annotation protocol</w:t>
      </w:r>
    </w:p>
    <w:p>
      <w:pPr>
        <w:pStyle w:val="4"/>
        <w:keepNext/>
      </w:pPr>
      <w:r>
        <w:t>8.1 What annotators see</w:t>
      </w:r>
    </w:p>
    <w:p>
      <w:pPr>
        <w:pStyle w:val="16"/>
      </w:pPr>
      <w:r>
        <w:t>The user task and task-specific criterion.</w:t>
      </w:r>
    </w:p>
    <w:p>
      <w:pPr>
        <w:pStyle w:val="16"/>
      </w:pPr>
      <w:r>
        <w:t>The complete chronological trace, including textual reasoning fields, structured actions, and screenshots when available.</w:t>
      </w:r>
    </w:p>
    <w:p>
      <w:pPr>
        <w:pStyle w:val="16"/>
      </w:pPr>
      <w:r>
        <w:t>Two span labels: SUPPORT and OPPOSE.</w:t>
      </w:r>
    </w:p>
    <w:p>
      <w:pPr>
        <w:pStyle w:val="16"/>
      </w:pPr>
      <w:r>
        <w:t>One final binary verdict: PASS or FAIL.</w:t>
      </w:r>
    </w:p>
    <w:p>
      <w:r>
        <w:t>Annotators do not see persona wording, condition A/B/C, model identity, judge output, or expected direction.</w:t>
      </w:r>
    </w:p>
    <w:p>
      <w:pPr>
        <w:pStyle w:val="4"/>
        <w:keepNext/>
      </w:pPr>
      <w:r>
        <w:t>8.2 Annotation order</w:t>
      </w:r>
    </w:p>
    <w:p>
      <w:pPr>
        <w:pStyle w:val="14"/>
      </w:pPr>
      <w:r>
        <w:t>Read the task-specific criterion before reading the trajectory.</w:t>
      </w:r>
    </w:p>
    <w:p>
      <w:pPr>
        <w:pStyle w:val="14"/>
      </w:pPr>
      <w:r>
        <w:t>Highlight the smallest sufficient SUPPORT and/or OPPOSE spans. Prefer concrete comparisons, actions, observations, and outcomes over broad self-descriptions.</w:t>
      </w:r>
    </w:p>
    <w:p>
      <w:pPr>
        <w:pStyle w:val="14"/>
      </w:pPr>
      <w:r>
        <w:t>Assign PASS if the observed decision materially follows the target criterion; otherwise assign FAIL. Judge the full trace, not the persona condition.</w:t>
      </w:r>
    </w:p>
    <w:p>
      <w:pPr>
        <w:pStyle w:val="14"/>
      </w:pPr>
      <w:r>
        <w:t>Record confidence on a 1-5 scale for analysis, but do not create a third verdict label.</w:t>
      </w:r>
    </w:p>
    <w:p>
      <w:pPr>
        <w:pStyle w:val="4"/>
        <w:keepNext/>
      </w:pPr>
      <w:r>
        <w:t>8.3 Span storage</w:t>
      </w:r>
    </w:p>
    <w:p>
      <w:pPr>
        <w:pStyle w:val="16"/>
      </w:pPr>
      <w:r>
        <w:t>Text fields: store model-output index, field name, start/end character offsets, and exact text.</w:t>
      </w:r>
    </w:p>
    <w:p>
      <w:pPr>
        <w:pStyle w:val="16"/>
      </w:pPr>
      <w:r>
        <w:t>Structured actions: store model-output index and JSONPath/action ID rather than converting the action into an arbitrary text span.</w:t>
      </w:r>
    </w:p>
    <w:p>
      <w:pPr>
        <w:pStyle w:val="16"/>
      </w:pPr>
      <w:r>
        <w:t>Screenshots: store screenshot ID; bounding boxes are optional and should not be required in the first annotation round.</w:t>
      </w:r>
    </w:p>
    <w:p>
      <w:pPr>
        <w:pStyle w:val="16"/>
      </w:pPr>
      <w:r>
        <w:t>Preserve evidence provenance: AGENT_CLAIM, TRACE_ACTION, SCREENSHOT_OBSERVED, or ENV_VERIFIED.</w:t>
      </w:r>
    </w:p>
    <w:p>
      <w:pPr>
        <w:pStyle w:val="3"/>
        <w:keepNext/>
      </w:pPr>
      <w:r>
        <w:t>9. Pilot and freeze procedure</w:t>
      </w:r>
    </w:p>
    <w:p>
      <w:r>
        <w:t>Run a small technical pilot before producing the 72 annotation cases.</w:t>
      </w:r>
    </w:p>
    <w:p>
      <w:pPr>
        <w:pStyle w:val="14"/>
      </w:pPr>
      <w:r>
        <w:t>Start WebHarbor from a pinned image/revision and record the revision and site-to-port mapping.</w:t>
      </w:r>
    </w:p>
    <w:p>
      <w:pPr>
        <w:pStyle w:val="14"/>
      </w:pPr>
      <w:r>
        <w:t>Run each of the 24 base tasks once with a task-only pilot prompt and no persona manipulation. This pilot is not part of the evaluation set. Use the pinned WebHarbor seed assets and record the originating official task/query for every frozen case.</w:t>
      </w:r>
    </w:p>
    <w:p>
      <w:pPr>
        <w:pStyle w:val="14"/>
      </w:pPr>
      <w:r>
        <w:t>Confirm the case-specific preflight gate and that the task normally completes in approximately 3-7 browser actions.</w:t>
      </w:r>
    </w:p>
    <w:p>
      <w:pPr>
        <w:pStyle w:val="14"/>
      </w:pPr>
      <w:r>
        <w:t>For INF-02, freeze a BBC topic with both breaking and explainer/background coverage. Replace unsupported location/topic terms elsewhere only if required.</w:t>
      </w:r>
    </w:p>
    <w:p>
      <w:pPr>
        <w:pStyle w:val="14"/>
      </w:pPr>
      <w:r>
        <w:t>Freeze task text, site state, all three persona assignments, Condition C eligible pools and draws, design strata, criteria, agent version, judge prompts, and annotation instructions before generating evaluation trajectories.</w:t>
      </w:r>
    </w:p>
    <w:p>
      <w:pPr>
        <w:pStyle w:val="14"/>
      </w:pPr>
      <w:r>
        <w:t>Reset the relevant WebHarbor site before every run. Use one trajectory per condition; prioritize more task diversity over repeated random seeds.</w:t>
      </w:r>
    </w:p>
    <w:p>
      <w:pPr>
        <w:pStyle w:val="3"/>
        <w:keepNext/>
      </w:pPr>
      <w:r>
        <w:t>10. Label distribution and stopping rule</w:t>
      </w:r>
    </w:p>
    <w:p>
      <w:r>
        <w:t>The prospective design contains exactly 36 expected PASS and 36 expected FAIL cases: Condition A contributes 24 expected PASS, Condition B contributes 24 expected FAIL, and Condition C contributes 12 of each. This is an expectation based on frozen persona-task relationships, not an assignment of gold labels. Continue the preregistered 72-case set regardless of interim results.</w:t>
      </w:r>
    </w:p>
    <w:p>
      <w:pPr>
        <w:pStyle w:val="16"/>
      </w:pPr>
      <w:r>
        <w:t>Planned design distribution: 36 expected PASS and 36 expected FAIL; report the observed distribution separately.</w:t>
      </w:r>
    </w:p>
    <w:p>
      <w:pPr>
        <w:pStyle w:val="16"/>
      </w:pPr>
      <w:r>
        <w:t>Do not rerun, delete, replace, or relabel completed cases to force the observed distribution to match 36/36.</w:t>
      </w:r>
    </w:p>
    <w:p>
      <w:pPr>
        <w:pStyle w:val="16"/>
      </w:pPr>
      <w:r>
        <w:t>If the final distribution is imbalanced, report accuracy together with macro-F1, balanced accuracy, per-class precision/recall/F1, and the confusion matrix.</w:t>
      </w:r>
    </w:p>
    <w:p>
      <w:pPr>
        <w:pStyle w:val="16"/>
      </w:pPr>
      <w:r>
        <w:t>Report verdict accuracy and span-level evidence metrics overall and separately for Conditions A, B, and C. Treat the heterogeneous Condition C personas as one pooled orthogonal condition; individual third-persona effects are descriptive only. Nine cases per domain are not enough for strong domain-level significance claims.</w:t>
      </w:r>
    </w:p>
    <w:p>
      <w:pPr>
        <w:pStyle w:val="3"/>
        <w:keepNext/>
      </w:pPr>
      <w:r>
        <w:t>11. Human annotation cost</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7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New cases</w:t>
            </w:r>
          </w:p>
        </w:tc>
        <w:tc>
          <w:tcPr>
            <w:tcW w:w="7416" w:type="dxa"/>
            <w:tcMar>
              <w:top w:w="80" w:type="dxa"/>
              <w:left w:w="120" w:type="dxa"/>
              <w:bottom w:w="80" w:type="dxa"/>
              <w:right w:w="120" w:type="dxa"/>
            </w:tcMar>
            <w:vAlign w:val="center"/>
          </w:tcPr>
          <w:p>
            <w:pPr>
              <w:spacing w:after="0"/>
            </w:pPr>
            <w:r>
              <w:rPr>
                <w:rFonts w:ascii="Calibri" w:hAnsi="Calibri"/>
                <w:sz w:val="19"/>
              </w:rPr>
              <w:t>72 trajectories x 2 independent annotators = 144 initial assignments.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Third annotation</w:t>
            </w:r>
          </w:p>
        </w:tc>
        <w:tc>
          <w:tcPr>
            <w:tcW w:w="7416" w:type="dxa"/>
            <w:tcMar>
              <w:top w:w="80" w:type="dxa"/>
              <w:left w:w="120" w:type="dxa"/>
              <w:bottom w:w="80" w:type="dxa"/>
              <w:right w:w="120" w:type="dxa"/>
            </w:tcMar>
            <w:vAlign w:val="center"/>
          </w:tcPr>
          <w:p>
            <w:pPr>
              <w:spacing w:after="0"/>
            </w:pPr>
            <w:r>
              <w:rPr>
                <w:rFonts w:ascii="Calibri" w:hAnsi="Calibri"/>
                <w:sz w:val="19"/>
              </w:rPr>
              <w:t>Adjudicate all disagreements plus a random 20% agreement audit (approximately 14 additional assignments).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Legacy cases</w:t>
            </w:r>
          </w:p>
        </w:tc>
        <w:tc>
          <w:tcPr>
            <w:tcW w:w="7416" w:type="dxa"/>
            <w:tcMar>
              <w:top w:w="80" w:type="dxa"/>
              <w:left w:w="120" w:type="dxa"/>
              <w:bottom w:w="80" w:type="dxa"/>
              <w:right w:w="120" w:type="dxa"/>
            </w:tcMar>
            <w:vAlign w:val="center"/>
          </w:tcPr>
          <w:p>
            <w:pPr>
              <w:spacing w:after="0"/>
            </w:pPr>
            <w:r>
              <w:rPr>
                <w:rFonts w:ascii="Calibri" w:hAnsi="Calibri"/>
                <w:sz w:val="19"/>
              </w:rPr>
              <w:t>33 trajectories x 2 annotators = 66 assignments, if the robustness set is fully re-annotated.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44" w:type="dxa"/>
            <w:shd w:val="clear" w:color="auto" w:fill="E8EEF5"/>
            <w:tcMar>
              <w:top w:w="80" w:type="dxa"/>
              <w:left w:w="120" w:type="dxa"/>
              <w:bottom w:w="80" w:type="dxa"/>
              <w:right w:w="120" w:type="dxa"/>
            </w:tcMar>
            <w:vAlign w:val="center"/>
          </w:tcPr>
          <w:p>
            <w:pPr>
              <w:spacing w:after="0"/>
            </w:pPr>
            <w:r>
              <w:rPr>
                <w:rFonts w:ascii="Calibri" w:hAnsi="Calibri"/>
                <w:b/>
                <w:color w:val="17324D"/>
                <w:sz w:val="19"/>
              </w:rPr>
              <w:t>Estimated total</w:t>
            </w:r>
          </w:p>
        </w:tc>
        <w:tc>
          <w:tcPr>
            <w:tcW w:w="7416" w:type="dxa"/>
            <w:tcMar>
              <w:top w:w="80" w:type="dxa"/>
              <w:left w:w="120" w:type="dxa"/>
              <w:bottom w:w="80" w:type="dxa"/>
              <w:right w:w="120" w:type="dxa"/>
            </w:tcMar>
            <w:vAlign w:val="center"/>
          </w:tcPr>
          <w:p>
            <w:pPr>
              <w:spacing w:after="0"/>
            </w:pPr>
            <w:r>
              <w:rPr>
                <w:rFonts w:ascii="Calibri" w:hAnsi="Calibri"/>
                <w:sz w:val="19"/>
              </w:rPr>
              <w:t>Approximately 224 assignments; at 4-5 minutes each, roughly 15-19 annotator-hours.</w:t>
            </w:r>
          </w:p>
        </w:tc>
      </w:tr>
    </w:tbl>
    <w:tbl>
      <w:tblPr>
        <w:tblStyle w:val="32"/>
        <w:tblW w:w="9360" w:type="dxa"/>
        <w:tblInd w:w="120" w:type="dxa"/>
        <w:tblLayout w:type="fixed"/>
        <w:tblCellMar>
          <w:top w:w="0" w:type="dxa"/>
          <w:left w:w="108" w:type="dxa"/>
          <w:bottom w:w="0" w:type="dxa"/>
          <w:right w:w="108" w:type="dxa"/>
        </w:tblCellMar>
      </w:tblPr>
      <w:tblGrid>
        <w:gridCol w:w="9360"/>
      </w:tblGrid>
      <w:tr>
        <w:tblPrEx>
          <w:tblCellMar>
            <w:top w:w="0" w:type="dxa"/>
            <w:left w:w="108" w:type="dxa"/>
            <w:bottom w:w="0" w:type="dxa"/>
            <w:right w:w="108" w:type="dxa"/>
          </w:tblCellMar>
        </w:tblPrEx>
        <w:tc>
          <w:tcPr>
            <w:tcW w:w="9360" w:type="dxa"/>
            <w:shd w:val="clear" w:color="auto" w:fill="E8EEF5"/>
            <w:tcMar>
              <w:top w:w="80" w:type="dxa"/>
              <w:left w:w="120" w:type="dxa"/>
              <w:bottom w:w="80" w:type="dxa"/>
              <w:right w:w="120" w:type="dxa"/>
            </w:tcMar>
          </w:tcPr>
          <w:p>
            <w:r>
              <w:t>Cost-saving rule  Gold record: SUPPORT/OPPOSE spans, PASS/FAIL, and confidence.</w:t>
            </w:r>
          </w:p>
        </w:tc>
      </w:tr>
    </w:tbl>
    <w:p>
      <w:pPr>
        <w:spacing w:after="0"/>
      </w:pPr>
    </w:p>
    <w:p>
      <w:pPr>
        <w:pStyle w:val="3"/>
        <w:keepNext/>
      </w:pPr>
      <w:r>
        <w:t>12. Relationship to the legacy evaluation</w:t>
      </w:r>
    </w:p>
    <w:p>
      <w:r>
        <w:t>Keep the 33 old cases because they provide a cross-environment robustness check. Re-annotate them with the same blind span + PASS/FAIL protocol, but do not pool them into the primary WebHarbor headline result. Report: (1) the 72-case WebHarbor set; (2) the 33-case legacy set; and (3) an optional 105-case pooled result labeled secondary. Within WebHarbor, separately identify 18 bridge-domain cases and 54 novel-domain cases.</w:t>
      </w:r>
    </w:p>
    <w:p>
      <w:pPr>
        <w:pStyle w:val="16"/>
      </w:pPr>
      <w:r>
        <w:t>Direct bridge overlap: retail shopping and flight choice only (6 base tasks; 18 of 72 WebHarbor cases).</w:t>
      </w:r>
    </w:p>
    <w:p>
      <w:pPr>
        <w:pStyle w:val="16"/>
      </w:pPr>
      <w:r>
        <w:rPr/>
        <w:t>Novel scope: accommodation, recipes, online learning, sports information/selection, ML model selection, and information/news/research (18 base tasks; 54 of 72 WebHarbor cases).</w:t>
      </w:r>
    </w:p>
    <w:p>
      <w:pPr>
        <w:pStyle w:val="16"/>
      </w:pPr>
      <w:r>
        <w:t>Legacy tasks that explicitly force the value-relevant choice should not be used to claim persona expression; they may remain as task-compliance or judge-robustness cases.</w:t>
      </w:r>
    </w:p>
    <w:p>
      <w:pPr>
        <w:pStyle w:val="3"/>
        <w:keepNext/>
      </w:pPr>
      <w:r>
        <w:t>13. Pre-registration checklist</w:t>
      </w:r>
    </w:p>
    <w:p>
      <w:pPr>
        <w:pStyle w:val="16"/>
      </w:pPr>
      <w:r>
        <w:t>24 base tasks pass their case-specific feasibility gates.</w:t>
      </w:r>
    </w:p>
    <w:p>
      <w:pPr>
        <w:pStyle w:val="16"/>
      </w:pPr>
      <w:r>
        <w:t>All 72 condition IDs are generated from identical task/criterion triplets, and the 24 Condition C draws are frozen before execution.</w:t>
      </w:r>
    </w:p>
    <w:p>
      <w:pPr>
        <w:pStyle w:val="16"/>
      </w:pPr>
      <w:r>
        <w:rPr/>
        <w:t>All six target values are represented across the 72 trajectories; criterion counts are Frugality 9, Convenience 15, Sustainability 9, Conformity 12, Innovation 15, and Tradition 12.</w:t>
      </w:r>
    </w:p>
    <w:p>
      <w:pPr>
        <w:pStyle w:val="16"/>
      </w:pPr>
      <w:r>
        <w:t>Condition C contains 12 prospective PASS and 12 prospective FAIL strata; observed labels are never altered to match this design balance.</w:t>
      </w:r>
    </w:p>
    <w:p>
      <w:pPr>
        <w:pStyle w:val="16"/>
      </w:pPr>
      <w:r>
        <w:t>Persona, condition, design-stratum, and model identifiers are hidden from annotators.</w:t>
      </w:r>
    </w:p>
    <w:p>
      <w:pPr>
        <w:pStyle w:val="16"/>
      </w:pPr>
      <w:r>
        <w:t>Site reset occurs before every run and the WebHarbor revision is pinned.</w:t>
      </w:r>
    </w:p>
    <w:p>
      <w:pPr>
        <w:pStyle w:val="16"/>
      </w:pPr>
      <w:r>
        <w:t>Technical exclusion and one-rerun rules are frozen before annotation.</w:t>
      </w:r>
    </w:p>
    <w:p>
      <w:pPr>
        <w:pStyle w:val="16"/>
      </w:pPr>
      <w:r>
        <w:t>Primary metrics are accuracy, macro-F1, balanced accuracy, per-class F1, and span-level precision/recall/F1.</w:t>
      </w:r>
    </w:p>
    <w:p>
      <w:pPr>
        <w:pStyle w:val="16"/>
      </w:pPr>
      <w:r>
        <w:t>Legacy and WebHarbor results are reported separately.</w:t>
      </w:r>
    </w:p>
    <w:p>
      <w:pPr>
        <w:pStyle w:val="3"/>
        <w:keepNext/>
        <w:pageBreakBefore/>
      </w:pPr>
      <w:r>
        <w:t>14. Sources</w:t>
      </w:r>
    </w:p>
    <w:p>
      <w:r>
        <w:t>EvalAgent manuscript: _UIST_2026__EvalAgent__Interactive_Comparative_Evaluation_of_Computer_Using_GUI_Agents.pdf, Section 4 and Appendix C.</w:t>
      </w:r>
    </w:p>
    <w:p>
      <w:r>
        <w:t>WebHarbor source checkout and official task catalogs inspected July 20, 2026. The current checkout contains 16 site directories; this design uses 10 sites with seeded task support.</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pPr>
    <w:r>
      <w:rPr>
        <w:rFonts w:ascii="Calibri" w:hAnsi="Calibri"/>
        <w:color w:val="5B6570"/>
        <w:sz w:val="18"/>
      </w:rP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left"/>
    </w:pPr>
    <w:r>
      <w:rPr>
        <w:rFonts w:ascii="Calibri" w:hAnsi="Calibri"/>
        <w:color w:val="5B6570"/>
        <w:sz w:val="18"/>
      </w:rPr>
      <w:t>EvalAgent Technical Evaluation  |  WebHarbor Case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3N2U4YWIxYmQ2YjhhNmZiNjE0N2JjMDdhNDM2N2MifQ=="/>
  </w:docVars>
  <w:rsids>
    <w:rsidRoot w:val="00B47730"/>
    <w:rsid w:val="00034616"/>
    <w:rsid w:val="0006063C"/>
    <w:rsid w:val="0015074B"/>
    <w:rsid w:val="0029639D"/>
    <w:rsid w:val="00326F90"/>
    <w:rsid w:val="00AA1D8D"/>
    <w:rsid w:val="00B47730"/>
    <w:rsid w:val="00CB0664"/>
    <w:rsid w:val="00FC693F"/>
    <w:rsid w:val="01C02D62"/>
    <w:rsid w:val="052454CF"/>
    <w:rsid w:val="078D7EC3"/>
    <w:rsid w:val="0C436DA2"/>
    <w:rsid w:val="169C23CE"/>
    <w:rsid w:val="1A7F100D"/>
    <w:rsid w:val="23BC0252"/>
    <w:rsid w:val="26F54D9B"/>
    <w:rsid w:val="28062B48"/>
    <w:rsid w:val="2BE273E5"/>
    <w:rsid w:val="2D644DA3"/>
    <w:rsid w:val="2E377F7C"/>
    <w:rsid w:val="2EFF36B1"/>
    <w:rsid w:val="30D5315E"/>
    <w:rsid w:val="334E50BD"/>
    <w:rsid w:val="33985F59"/>
    <w:rsid w:val="3697072A"/>
    <w:rsid w:val="3F1439E6"/>
    <w:rsid w:val="565809C8"/>
    <w:rsid w:val="59D96971"/>
    <w:rsid w:val="5DCF3134"/>
    <w:rsid w:val="5E0B321A"/>
    <w:rsid w:val="607C349A"/>
    <w:rsid w:val="6EFA655B"/>
    <w:rsid w:val="74402CEE"/>
    <w:rsid w:val="754149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5D7B"/>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5D7B"/>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7324D"/>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line="300" w:lineRule="auto"/>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300" w:lineRule="auto"/>
      <w:contextualSpacing/>
    </w:pPr>
    <w:rPr>
      <w:rFonts w:ascii="Calibri" w:hAnsi="Calibri"/>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spacing w:after="80" w:line="300" w:lineRule="auto"/>
      <w:contextualSpacing/>
    </w:pPr>
    <w:rPr>
      <w:rFonts w:ascii="Calibri" w:hAnsi="Calibri"/>
      <w:sz w:val="22"/>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6294</Words>
  <Characters>38210</Characters>
  <Lines>0</Lines>
  <Paragraphs>0</Paragraphs>
  <TotalTime>23</TotalTime>
  <ScaleCrop>false</ScaleCrop>
  <LinksUpToDate>false</LinksUpToDate>
  <CharactersWithSpaces>43843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EvalAgent Research Team</dc:creator>
  <dc:description>generated by python-docx</dc:description>
  <cp:keywords>EvalAgent, WebHarbor, LLM-as-a-Judge, evidence spans, persona evaluation</cp:keywords>
  <cp:lastModifiedBy>杨宇琨</cp:lastModifiedBy>
  <dcterms:modified xsi:type="dcterms:W3CDTF">2026-07-22T07:57:17Z</dcterms:modified>
  <dc:subject>Randomized criterion-orthogonal Condition C with prospectively balanced label strata</dc:subject>
  <dc:title>EvalAgent WebHarbor Case Design v1.4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C5F31F1543BF459189C0F1DE683DE07D_12</vt:lpwstr>
  </property>
</Properties>
</file>