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415" w14:textId="77777777" w:rsidR="007002DE" w:rsidRDefault="0060799D">
      <w:pPr>
        <w:rPr>
          <w:lang w:val="en-US"/>
        </w:rPr>
      </w:pPr>
      <w:r>
        <w:rPr>
          <w:lang w:val="en-US"/>
        </w:rPr>
        <w:t>Breast cancer is a</w:t>
      </w:r>
      <w:r w:rsidR="000A06C7">
        <w:rPr>
          <w:lang w:val="en-US"/>
        </w:rPr>
        <w:t xml:space="preserve">n umbrella term for </w:t>
      </w:r>
      <w:r w:rsidR="00E71F16">
        <w:rPr>
          <w:lang w:val="en-US"/>
        </w:rPr>
        <w:t xml:space="preserve">encompassing multiple different </w:t>
      </w:r>
      <w:r>
        <w:rPr>
          <w:lang w:val="en-US"/>
        </w:rPr>
        <w:t xml:space="preserve">subtypes, with each subtype having a </w:t>
      </w:r>
      <w:proofErr w:type="gramStart"/>
      <w:r>
        <w:rPr>
          <w:lang w:val="en-US"/>
        </w:rPr>
        <w:t xml:space="preserve">different </w:t>
      </w:r>
      <w:r w:rsidR="006A5508">
        <w:rPr>
          <w:lang w:val="en-US"/>
        </w:rPr>
        <w:t>biological and clinical features</w:t>
      </w:r>
      <w:proofErr w:type="gramEnd"/>
      <w:r w:rsidR="006A5508">
        <w:rPr>
          <w:lang w:val="en-US"/>
        </w:rPr>
        <w:t>, progression pattern, treatment response and prognosis.</w:t>
      </w:r>
      <w:r w:rsidR="000A06C7">
        <w:rPr>
          <w:lang w:val="en-US"/>
        </w:rPr>
        <w:t xml:space="preserve"> </w:t>
      </w:r>
      <w:r w:rsidR="004B2AC1">
        <w:rPr>
          <w:lang w:val="en-US"/>
        </w:rPr>
        <w:t xml:space="preserve"> </w:t>
      </w:r>
      <w:r w:rsidR="00B8040F">
        <w:rPr>
          <w:lang w:val="en-US"/>
        </w:rPr>
        <w:t xml:space="preserve">Stratification of breast cancer is an important objective, which allows clinicians to better </w:t>
      </w:r>
      <w:r w:rsidR="00C9137D">
        <w:rPr>
          <w:lang w:val="en-US"/>
        </w:rPr>
        <w:t xml:space="preserve">evaluate patient risk and </w:t>
      </w:r>
      <w:r w:rsidR="005D0F6E">
        <w:rPr>
          <w:lang w:val="en-US"/>
        </w:rPr>
        <w:t xml:space="preserve">select effective </w:t>
      </w:r>
      <w:r w:rsidR="00C9137D">
        <w:rPr>
          <w:lang w:val="en-US"/>
        </w:rPr>
        <w:t>therapeut</w:t>
      </w:r>
      <w:r w:rsidR="005D0F6E">
        <w:rPr>
          <w:lang w:val="en-US"/>
        </w:rPr>
        <w:t>ic strategies</w:t>
      </w:r>
      <w:r w:rsidR="00AF2F7C">
        <w:rPr>
          <w:lang w:val="en-US"/>
        </w:rPr>
        <w:t xml:space="preserve"> based on the subtype in question </w:t>
      </w:r>
      <w:r w:rsidR="00AF2F7C">
        <w:rPr>
          <w:lang w:val="en-US"/>
        </w:rPr>
        <w:fldChar w:fldCharType="begin"/>
      </w:r>
      <w:r w:rsidR="00AF2F7C">
        <w:rPr>
          <w:lang w:val="en-US"/>
        </w:rPr>
        <w:instrText xml:space="preserve"> ADDIN ZOTERO_ITEM CSL_CITATION {"citationID":"MDmEmfQm","properties":{"formattedCitation":"(Dai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sidR="00AF2F7C">
        <w:rPr>
          <w:lang w:val="en-US"/>
        </w:rPr>
        <w:fldChar w:fldCharType="separate"/>
      </w:r>
      <w:r w:rsidR="00AF2F7C">
        <w:rPr>
          <w:noProof/>
          <w:lang w:val="en-US"/>
        </w:rPr>
        <w:t>(Dai et al., 2015)</w:t>
      </w:r>
      <w:r w:rsidR="00AF2F7C">
        <w:rPr>
          <w:lang w:val="en-US"/>
        </w:rPr>
        <w:fldChar w:fldCharType="end"/>
      </w:r>
      <w:r w:rsidR="00AF2F7C">
        <w:rPr>
          <w:lang w:val="en-US"/>
        </w:rPr>
        <w:t xml:space="preserve">. </w:t>
      </w:r>
    </w:p>
    <w:p w14:paraId="60E3FABB" w14:textId="77777777" w:rsidR="007002DE" w:rsidRDefault="007002DE">
      <w:pPr>
        <w:rPr>
          <w:lang w:val="en-US"/>
        </w:rPr>
      </w:pPr>
    </w:p>
    <w:p w14:paraId="21593D34" w14:textId="2205BE5E" w:rsidR="00CE599D" w:rsidRDefault="00CE599D" w:rsidP="00CE599D">
      <w:pPr>
        <w:rPr>
          <w:lang w:val="en-US"/>
        </w:rPr>
      </w:pPr>
      <w:r>
        <w:rPr>
          <w:lang w:val="en-US"/>
        </w:rPr>
        <w:t xml:space="preserve">Earlier, breast cancer stratification was conventionally performed using a combination of immunohistochemistry (IHC) detection for cellular markers as well as anatomical features such as </w:t>
      </w:r>
      <w:proofErr w:type="spellStart"/>
      <w:r>
        <w:rPr>
          <w:lang w:val="en-US"/>
        </w:rPr>
        <w:t>tumour</w:t>
      </w:r>
      <w:proofErr w:type="spellEnd"/>
      <w:r>
        <w:rPr>
          <w:lang w:val="en-US"/>
        </w:rPr>
        <w:t xml:space="preserve"> node size, number of metastases detected, etc. However, information from gene expression profiling by microarrays became an increasingly important means of breast cancer classification </w:t>
      </w:r>
      <w:r>
        <w:rPr>
          <w:lang w:val="en-US"/>
        </w:rPr>
        <w:fldChar w:fldCharType="begin"/>
      </w:r>
      <w:r w:rsidR="001F2739">
        <w:rPr>
          <w:lang w:val="en-US"/>
        </w:rPr>
        <w:instrText xml:space="preserve"> ADDIN ZOTERO_ITEM CSL_CITATION {"citationID":"LABC54aP","properties":{"formattedCitation":"(Dai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Pr>
          <w:lang w:val="en-US"/>
        </w:rPr>
        <w:fldChar w:fldCharType="separate"/>
      </w:r>
      <w:r>
        <w:rPr>
          <w:noProof/>
          <w:lang w:val="en-US"/>
        </w:rPr>
        <w:t>(Dai et al., 2015)</w:t>
      </w:r>
      <w:r>
        <w:rPr>
          <w:lang w:val="en-US"/>
        </w:rPr>
        <w:fldChar w:fldCharType="end"/>
      </w:r>
      <w:r>
        <w:rPr>
          <w:lang w:val="en-US"/>
        </w:rPr>
        <w:t>.</w:t>
      </w:r>
    </w:p>
    <w:p w14:paraId="4B7EAE09" w14:textId="77777777" w:rsidR="004B2AC1" w:rsidRDefault="004B2AC1">
      <w:pPr>
        <w:rPr>
          <w:lang w:val="en-US"/>
        </w:rPr>
      </w:pPr>
    </w:p>
    <w:p w14:paraId="67F7A1E9" w14:textId="670715E0" w:rsidR="001B4128" w:rsidRDefault="00CE7DD9">
      <w:r w:rsidRPr="00CE7DD9">
        <w:t>It is a well-known issue that there is little consensus in data mined between different omics studies, including microarray gene expression studies</w:t>
      </w:r>
      <w:r w:rsidR="00051454">
        <w:t xml:space="preserve">, where lack of reproducibility has been brought up as an issue </w:t>
      </w:r>
      <w:r w:rsidR="009453CF">
        <w:fldChar w:fldCharType="begin"/>
      </w:r>
      <w:r w:rsidR="00BE13A8">
        <w:instrText xml:space="preserve"> ADDIN ZOTERO_ITEM CSL_CITATION {"citationID":"AzCMewQB","properties":{"formattedCitation":"(Draghici et al., 2006; Shi et al., 2008; Sweeney et al., 2017)","plainCitation":"(Draghici et al., 2006; Shi et al., 2008; Sweeney et al., 2017)","noteIndex":0},"citationItems":[{"id":2365,"uris":["http://zotero.org/users/6562882/items/PWQWL2RQ"],"itemData":{"id":2365,"type":"article-journal","abstract":"DNA microarrays enable researchers to monitor the expression of thousands of genes simultaneously. However, the current technology has several limitations. Here we discuss problems related to the sensitivity, accuracy, specificity and reproducibility of microarray results. The existing data suggest that for relatively abundant transcripts the existence and direction (but not the magnitude) of expression changes can be reliably detected. However, accurate measurements of absolute expression levels and the reliable detection of low abundance genes are difficult to achieve. The main problems seem to be the sub-optimal design or choice of probes and some incorrect probe annotations. Well-designed data-analysis approaches can rectify some of these problems.","container-title":"Trends in genetics : TIG","DOI":"10.1016/j.tig.2005.12.005","ISSN":"0168-9525","issue":"2","journalAbbreviation":"Trends Genet","note":"PMID: 16380191\nPMCID: PMC2386979","page":"101-109","source":"PubMed Central","title":"Reliability and reproducibility issues in DNA microarray measurements","URL":"https://www.ncbi.nlm.nih.gov/pmc/articles/PMC2386979/","volume":"22","author":[{"family":"Draghici","given":"Sorin"},{"family":"Khatri","given":"Purvesh"},{"family":"Eklund","given":"Aron C."},{"family":"Szallasi","given":"Zoltan"}],"accessed":{"date-parts":[["2022",10,15]]},"issued":{"date-parts":[["2006",2]]}},"label":"page"},{"id":2363,"uris":["http://zotero.org/users/6562882/items/XKR9PK5S"],"itemData":{"id":2363,"type":"article-journal","abstract":"Background\nReproducibility is a fundamental requirement in scientific experiments. Some recent publications have claimed that microarrays are unreliable because lists of differentially expressed genes (DEGs) are not reproducible in similar experiments. Meanwhile, new statistical methods for identifying DEGs continue to appear in the scientific literature. The resultant variety of existing and emerging methods exacerbates confusion and continuing debate in the microarray community on the appropriate choice of methods for identifying reliable DEG lists.\n\nResults\nUsing the data sets generated by the MicroArray Quality Control (MAQC) project, we investigated the impact on the reproducibility of DEG lists of a few widely used gene selection procedures. We present comprehensive results from inter-site comparisons using the same microarray platform, cross-platform comparisons using multiple microarray platforms, and comparisons between microarray results and those from TaqMan – the widely regarded \"standard\" gene expression platform. Our results demonstrate that (1) previously reported discordance between DEG lists could simply result from ranking and selecting DEGs solely by statistical significance (P) derived from widely used simple t-tests; (2) when fold change (FC) is used as the ranking criterion with a non-stringent P-value cutoff filtering, the DEG lists become much more reproducible, especially when fewer genes are selected as differentially expressed, as is the case in most microarray studies; and (3) the instability of short DEG lists solely based on P-value ranking is an expected mathematical consequence of the high variability of the t-values; the more stringent the P-value threshold, the less reproducible the DEG list is. These observations are also consistent with results from extensive simulation calculations.\n\nConclusion\nWe recommend the use of FC-ranking plus a non-stringent P cutoff as a straightforward and baseline practice in order to generate more reproducible DEG lists. Specifically, the P-value cutoff should not be stringent (too small) and FC should be as large as possible. Our results provide practical guidance to choose the appropriate FC and P-value cutoffs when selecting a given number of DEGs. The FC criterion enhances reproducibility, whereas the P criterion balances sensitivity and specificity.","container-title":"BMC Bioinformatics","DOI":"10.1186/1471-2105-9-S9-S10","ISSN":"1471-2105","issue":"Suppl 9","journalAbbreviation":"BMC Bioinformatics","note":"PMID: 18793455\nPMCID: PMC2537561","page":"S10","source":"PubMed Central","title":"The balance of reproducibility, sensitivity, and specificity of lists of differentially expressed genes in microarray studies","URL":"https://www.ncbi.nlm.nih.gov/pmc/articles/PMC2537561/","volume":"9","author":[{"family":"Shi","given":"Leming"},{"family":"Jones","given":"Wendell D"},{"family":"Jensen","given":"Roderick V"},{"family":"Harris","given":"Stephen C"},{"family":"Perkins","given":"Roger G"},{"family":"Goodsaid","given":"Federico M"},{"family":"Guo","given":"Lei"},{"family":"Croner","given":"Lisa J"},{"family":"Boysen","given":"Cecilie"},{"family":"Fang","given":"Hong"},{"family":"Qian","given":"Feng"},{"family":"Amur","given":"Shashi"},{"family":"Bao","given":"Wenjun"},{"family":"Barbacioru","given":"Catalin C"},{"family":"Bertholet","given":"Vincent"},{"family":"Cao","given":"Xiaoxi Megan"},{"family":"Chu","given":"Tzu-Ming"},{"family":"Collins","given":"Patrick J"},{"family":"Fan","given":"Xiao-hui"},{"family":"Frueh","given":"Felix W"},{"family":"Fuscoe","given":"James C"},{"family":"Guo","given":"Xu"},{"family":"Han","given":"Jing"},{"family":"Herman","given":"Damir"},{"family":"Hong","given":"Huixiao"},{"family":"Kawasaki","given":"Ernest S"},{"family":"Li","given":"Quan-Zhen"},{"family":"Luo","given":"Yuling"},{"family":"Ma","given":"Yunqing"},{"family":"Mei","given":"Nan"},{"family":"Peterson","given":"Ron L"},{"family":"Puri","given":"Raj K"},{"family":"Shippy","given":"Richard"},{"family":"Su","given":"Zhenqiang"},{"family":"Sun","given":"Yongming Andrew"},{"family":"Sun","given":"Hongmei"},{"family":"Thorn","given":"Brett"},{"family":"Turpaz","given":"Yaron"},{"family":"Wang","given":"Charles"},{"family":"Wang","given":"Sue Jane"},{"family":"Warrington","given":"Janet A"},{"family":"Willey","given":"James C"},{"family":"Wu","given":"Jie"},{"family":"Xie","given":"Qian"},{"family":"Zhang","given":"Liang"},{"family":"Zhang","given":"Lu"},{"family":"Zhong","given":"Sheng"},{"family":"Wolfinger","given":"Russell D"},{"family":"Tong","given":"Weida"}],"accessed":{"date-parts":[["2022",10,15]]},"issued":{"date-parts":[["2008",8,12]]}},"label":"page"},{"id":2369,"uris":["http://zotero.org/users/6562882/items/GSXKK799"],"itemData":{"id":2369,"type":"article-journal","abstract":"Findings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P."},{"family":"Khatri","given":"Purvesh"}],"accessed":{"date-parts":[["2022",10,15]]},"issued":{"date-parts":[["2017",1,9]]}},"label":"page"}],"schema":"https://github.com/citation-style-language/schema/raw/master/csl-citation.json"} </w:instrText>
      </w:r>
      <w:r w:rsidR="009453CF">
        <w:fldChar w:fldCharType="separate"/>
      </w:r>
      <w:r w:rsidR="00BE13A8">
        <w:rPr>
          <w:noProof/>
        </w:rPr>
        <w:t>(Draghici et al., 2006; Shi et al., 2008; Sweeney et al., 2017)</w:t>
      </w:r>
      <w:r w:rsidR="009453CF">
        <w:fldChar w:fldCharType="end"/>
      </w:r>
      <w:r w:rsidR="00BE13A8">
        <w:t xml:space="preserve">. </w:t>
      </w:r>
      <w:r w:rsidR="009B2833">
        <w:t xml:space="preserve">There could be multiple </w:t>
      </w:r>
      <w:r w:rsidR="00051454">
        <w:t xml:space="preserve">reasons for this lack of reproducibility. Firstly, </w:t>
      </w:r>
      <w:r w:rsidR="00B75487">
        <w:t xml:space="preserve">the diversity of available </w:t>
      </w:r>
      <w:r w:rsidR="00E6658B">
        <w:t xml:space="preserve">microarray </w:t>
      </w:r>
      <w:r w:rsidR="00B75487">
        <w:t xml:space="preserve">platforms </w:t>
      </w:r>
      <w:r w:rsidR="00A86F54">
        <w:t>with different manufacturing strategies, probe sequences</w:t>
      </w:r>
      <w:r w:rsidR="00F22658">
        <w:t>, versions</w:t>
      </w:r>
      <w:r w:rsidR="00A86F54">
        <w:t xml:space="preserve"> and </w:t>
      </w:r>
      <w:r w:rsidR="003B196F">
        <w:t>measurement methods (for example, one channel versus two-channel microarrays)</w:t>
      </w:r>
      <w:r w:rsidR="00A86F54">
        <w:t xml:space="preserve">, makes it difficult to compare </w:t>
      </w:r>
      <w:r w:rsidR="00F22658">
        <w:t xml:space="preserve">differentially-expressed genes </w:t>
      </w:r>
      <w:r w:rsidR="003B196F">
        <w:t>between studies</w:t>
      </w:r>
      <w:r w:rsidR="00F22658">
        <w:t xml:space="preserve"> using different platforms. </w:t>
      </w:r>
      <w:r w:rsidR="008A4F97">
        <w:t>Secondly</w:t>
      </w:r>
      <w:r w:rsidR="00F22658">
        <w:t xml:space="preserve">, </w:t>
      </w:r>
      <w:r w:rsidR="00337766">
        <w:t>technical variation generated during the data generation and collection process</w:t>
      </w:r>
      <w:r w:rsidR="003D3904">
        <w:t xml:space="preserve"> introduces unwanted noise into the </w:t>
      </w:r>
      <w:r w:rsidR="00E60011">
        <w:t>data</w:t>
      </w:r>
      <w:r w:rsidR="00DF7DBC">
        <w:t xml:space="preserve">, compromising the accuracy, reproducibility and generalizability of </w:t>
      </w:r>
      <w:r w:rsidR="009309A3">
        <w:t>the results obtained from that data. An example of such variation are</w:t>
      </w:r>
      <w:r w:rsidR="00F1280D">
        <w:t xml:space="preserve"> </w:t>
      </w:r>
      <w:r w:rsidR="009309A3">
        <w:t>b</w:t>
      </w:r>
      <w:r w:rsidR="00FE07DD">
        <w:t xml:space="preserve">atch effects </w:t>
      </w:r>
      <w:r w:rsidR="00857231">
        <w:fldChar w:fldCharType="begin"/>
      </w:r>
      <w:r w:rsidR="00857231">
        <w:instrText xml:space="preserve"> ADDIN ZOTERO_ITEM CSL_CITATION {"citationID":"f2qx98Rs","properties":{"formattedCitation":"(Goh et al., 2017)","plainCitation":"(Goh et al., 2017)","noteIndex":0},"citationItems":[{"id":2376,"uris":["http://zotero.org/users/6562882/items/Y8VUIJ7U"],"itemData":{"id":2376,"type":"article-journal","abstract":"Effective integration and analysis of new high-throughput data, especially gene-expression and proteomic-profiling data, are expected to deliver novel clinical insights and therapeutic options. Unfortunately, technical heterogeneity or batch effects (different experiment times, handlers, reagent lots, etc.) have proven challenging. Although batch effect-correction algorithms (BECAs) exist, we know little about effective batch-effect mitigation: even now, new batch effect-associated problems are emerging. These include false effects due to misapplying BECAs and positive bias during model evaluations. Depending on the choice of algorithm and experimental set-up, biological heterogeneity can be mistaken for batch effects and wrongfully removed. Here, we examine these emerging batch effect-associated problems, propose a series of best practices, and discuss some of the challenges that lie ahead.","collection-title":"Special Issue: Computation and Modeling","container-title":"Trends in Biotechnology","DOI":"10.1016/j.tibtech.2017.02.012","ISSN":"0167-7799","issue":"6","journalAbbreviation":"Trends in Biotechnology","language":"en","page":"498-507","source":"ScienceDirect","title":"Why Batch Effects Matter in Omics Data, and How to Avoid Them","URL":"https://www.sciencedirect.com/science/article/pii/S0167779917300367","volume":"35","author":[{"family":"Goh","given":"Wilson Wen Bin"},{"family":"Wang","given":"Wei"},{"family":"Wong","given":"Limsoon"}],"accessed":{"date-parts":[["2022",10,15]]},"issued":{"date-parts":[["2017",6,1]]}}}],"schema":"https://github.com/citation-style-language/schema/raw/master/csl-citation.json"} </w:instrText>
      </w:r>
      <w:r w:rsidR="00857231">
        <w:fldChar w:fldCharType="separate"/>
      </w:r>
      <w:r w:rsidR="00857231">
        <w:rPr>
          <w:noProof/>
        </w:rPr>
        <w:t>(Goh et al., 2017)</w:t>
      </w:r>
      <w:r w:rsidR="00857231">
        <w:fldChar w:fldCharType="end"/>
      </w:r>
      <w:r w:rsidR="00857231">
        <w:t xml:space="preserve">. </w:t>
      </w:r>
      <w:r w:rsidR="001E1372">
        <w:t xml:space="preserve">Since such technical variability is dataset-specific, </w:t>
      </w:r>
      <w:r w:rsidR="00122AEF">
        <w:t>it leads</w:t>
      </w:r>
      <w:r w:rsidR="00FF72E5">
        <w:t xml:space="preserve"> to different datasets being affected by batch effects </w:t>
      </w:r>
      <w:r w:rsidR="00D111CF">
        <w:t xml:space="preserve">to different degrees, leading to lack of consistency in the obtained results. Furthermore, even though batch-effect correction algorithms such as </w:t>
      </w:r>
      <w:proofErr w:type="spellStart"/>
      <w:r w:rsidR="001B4128">
        <w:t>ComBat</w:t>
      </w:r>
      <w:proofErr w:type="spellEnd"/>
      <w:r w:rsidR="001B4128">
        <w:t xml:space="preserve"> </w:t>
      </w:r>
      <w:r w:rsidR="001B4128">
        <w:fldChar w:fldCharType="begin"/>
      </w:r>
      <w:r w:rsidR="00E95AD7">
        <w:instrText xml:space="preserve"> ADDIN ZOTERO_ITEM CSL_CITATION {"citationID":"l0VKfkww","properties":{"formattedCitation":"(Johnson et al., 2007)","plainCitation":"(Johnson et al., 2007)","noteIndex":0},"citationItems":[{"id":2378,"uris":["http://zotero.org/users/6562882/items/86AEB9NR"],"itemData":{"id":2378,"type":"article-journal","abstract":"Non-biological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(&amp;gt;25)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http://biosun1.harvard.edu/complab/batch/.","container-title":"Biostatistics","DOI":"10.1093/biostatistics/kxj037","ISSN":"1465-4644","issue":"1","journalAbbreviation":"Biostatistics","page":"118-127","source":"Silverchair","title":"Adjusting batch effects in microarray expression data using empirical Bayes methods","URL":"https://doi.org/10.1093/biostatistics/kxj037","volume":"8","author":[{"family":"Johnson","given":"W. Evan"},{"family":"Li","given":"Cheng"},{"family":"Rabinovic","given":"Ariel"}],"accessed":{"date-parts":[["2022",10,15]]},"issued":{"date-parts":[["2007",1,1]]}}}],"schema":"https://github.com/citation-style-language/schema/raw/master/csl-citation.json"} </w:instrText>
      </w:r>
      <w:r w:rsidR="001B4128">
        <w:fldChar w:fldCharType="separate"/>
      </w:r>
      <w:r w:rsidR="00E95AD7">
        <w:rPr>
          <w:noProof/>
        </w:rPr>
        <w:t>(Johnson et al., 2007)</w:t>
      </w:r>
      <w:r w:rsidR="001B4128">
        <w:fldChar w:fldCharType="end"/>
      </w:r>
      <w:r w:rsidR="00E95AD7">
        <w:t xml:space="preserve"> and surrogate variable analysis (SVA) </w:t>
      </w:r>
      <w:r w:rsidR="004F5734">
        <w:fldChar w:fldCharType="begin"/>
      </w:r>
      <w:r w:rsidR="00900529">
        <w:instrText xml:space="preserve"> ADDIN ZOTERO_ITEM CSL_CITATION {"citationID":"ffhKmsJu","properties":{"formattedCitation":"(Leek &amp; Storey, 2007)","plainCitation":"(Leek &amp; Storey, 2007)","noteIndex":0},"citationItems":[{"id":2380,"uris":["http://zotero.org/users/6562882/items/WS9YGNUI"],"itemData":{"id":2380,"type":"article-journal","abstract":"It has unambiguously been shown that genetic, environmental, demographic, and technical factors may have substantial effects on gene expression levels. In addition to the measured variable(s) of interest, there will tend to be sources of signal due to factors that are unknown, unmeasured, or too complicated to capture through simple models. We show that failing to incorporate these sources of heterogeneity into an analysis can have widespread and detrimental effects on the study. Not only can this reduce power or induce unwanted dependence across genes, but it can also introduce sources of spurious signal to many genes. This phenomenon is true even for well-designed, randomized studies. We introduce “surrogate variable analysis” (SVA) to overcome the problems caused by heterogeneity in expression studies. SVA can be applied in conjunction with standard analysis techniques to accurately capture the relationship between expression and any modeled variables of interest. We apply SVA to disease class, time course, and genetics of gene expression studies. We show that SVA increases the biological accuracy and reproducibility of analyses in genome-wide expression studies.","container-title":"PLoS Genetics","DOI":"10.1371/journal.pgen.0030161","ISSN":"1553-7390","issue":"9","journalAbbreviation":"PLoS Genet","note":"PMID: 17907809\nPMCID: PMC1994707","page":"e161","source":"PubMed Central","title":"Capturing Heterogeneity in Gene Expression Studies by Surrogate Variable Analysis","URL":"https://www.ncbi.nlm.nih.gov/pmc/articles/PMC1994707/","volume":"3","author":[{"family":"Leek","given":"Jeffrey T"},{"family":"Storey","given":"John D"}],"accessed":{"date-parts":[["2022",10,15]]},"issued":{"date-parts":[["2007",9]]}}}],"schema":"https://github.com/citation-style-language/schema/raw/master/csl-citation.json"} </w:instrText>
      </w:r>
      <w:r w:rsidR="004F5734">
        <w:fldChar w:fldCharType="separate"/>
      </w:r>
      <w:r w:rsidR="00900529">
        <w:rPr>
          <w:noProof/>
        </w:rPr>
        <w:t>(Leek &amp; Storey, 2007)</w:t>
      </w:r>
      <w:r w:rsidR="004F5734">
        <w:fldChar w:fldCharType="end"/>
      </w:r>
      <w:r w:rsidR="00900529">
        <w:t xml:space="preserve"> exist, if</w:t>
      </w:r>
      <w:r w:rsidR="004F6149">
        <w:t xml:space="preserve"> they are </w:t>
      </w:r>
      <w:r w:rsidR="00900529">
        <w:t xml:space="preserve">incorrectly </w:t>
      </w:r>
      <w:r w:rsidR="004F6149">
        <w:t>applied, or if</w:t>
      </w:r>
      <w:r w:rsidR="00D65BC5">
        <w:t xml:space="preserve"> used on </w:t>
      </w:r>
      <w:r w:rsidR="004F6149">
        <w:t xml:space="preserve">datasets with unbalanced distribution of batches across classes, </w:t>
      </w:r>
      <w:r w:rsidR="00D65BC5">
        <w:t>they might in</w:t>
      </w:r>
      <w:r w:rsidR="00151F7B">
        <w:t xml:space="preserve">advertently remove relevant variation or add </w:t>
      </w:r>
      <w:r w:rsidR="00395D02">
        <w:t>irrelevant</w:t>
      </w:r>
      <w:r w:rsidR="00151F7B">
        <w:t xml:space="preserve"> variation into the </w:t>
      </w:r>
      <w:r w:rsidR="00395D02">
        <w:t xml:space="preserve">dataset and thereby </w:t>
      </w:r>
      <w:r w:rsidR="008A4F97">
        <w:t xml:space="preserve">compromise reproducibility. Thirdly, the </w:t>
      </w:r>
      <w:r w:rsidR="00A76005">
        <w:t xml:space="preserve">properties of certain </w:t>
      </w:r>
      <w:r w:rsidR="00E72EA4">
        <w:t xml:space="preserve">commonly-used pre-processing methods may introduce biases into the data. For example, the </w:t>
      </w:r>
      <w:r w:rsidR="00B52503">
        <w:t xml:space="preserve">often used robust multichip average (RMA) method of pre-processing data has been shown to dilute biological signal during the quantile normalization </w:t>
      </w:r>
      <w:r w:rsidR="001C779B">
        <w:fldChar w:fldCharType="begin"/>
      </w:r>
      <w:r w:rsidR="001C779B">
        <w:instrText xml:space="preserve"> ADDIN ZOTERO_ITEM CSL_CITATION {"citationID":"9auc65HC","properties":{"formattedCitation":"(Kim et al., 2014; Zhao et al., 2020)","plainCitation":"(Kim et al., 2014; Zhao et al., 2020)","noteIndex":0},"citationItems":[{"id":2135,"uris":["http://zotero.org/users/6562882/items/B9ZP6EQZ"],"itemData":{"id":2135,"type":"paper-conference","abstract":"Quantile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1C779B">
        <w:fldChar w:fldCharType="separate"/>
      </w:r>
      <w:r w:rsidR="001C779B">
        <w:rPr>
          <w:noProof/>
        </w:rPr>
        <w:t>(Kim et al., 2014; Zhao et al., 2020)</w:t>
      </w:r>
      <w:r w:rsidR="001C779B">
        <w:fldChar w:fldCharType="end"/>
      </w:r>
      <w:r w:rsidR="001C779B">
        <w:t xml:space="preserve"> </w:t>
      </w:r>
      <w:r w:rsidR="00C15C85">
        <w:t xml:space="preserve">stage </w:t>
      </w:r>
      <w:r w:rsidR="001C779B">
        <w:t xml:space="preserve">as well as </w:t>
      </w:r>
      <w:r w:rsidR="00C15C85">
        <w:t xml:space="preserve">during its summarization stage </w:t>
      </w:r>
      <w:r w:rsidR="001839F2">
        <w:t xml:space="preserve">via median polish </w:t>
      </w:r>
      <w:r w:rsidR="001839F2">
        <w:fldChar w:fldCharType="begin"/>
      </w:r>
      <w:r w:rsidR="002C087C">
        <w:instrText xml:space="preserve"> ADDIN ZOTERO_ITEM CSL_CITATION {"citationID":"XBN4MrE0","properties":{"formattedCitation":"(Kim et al., 2014)","plainCitation":"(Kim et al., 2014)","noteIndex":0},"citationItems":[{"id":2135,"uris":["http://zotero.org/users/6562882/items/B9ZP6EQZ"],"itemData":{"id":2135,"type":"paper-conference","abstract":"Quantile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Sik"},{"family":"Hwang","given":"Seungwoo"},{"family":"Zhang","given":"Shu-Dong"}],"issued":{"date-parts":[["2014",11]]}}}],"schema":"https://github.com/citation-style-language/schema/raw/master/csl-citation.json"} </w:instrText>
      </w:r>
      <w:r w:rsidR="001839F2">
        <w:fldChar w:fldCharType="separate"/>
      </w:r>
      <w:r w:rsidR="002C087C">
        <w:rPr>
          <w:noProof/>
        </w:rPr>
        <w:t>(Kim et al., 2014)</w:t>
      </w:r>
      <w:r w:rsidR="001839F2">
        <w:fldChar w:fldCharType="end"/>
      </w:r>
      <w:r w:rsidR="002C087C">
        <w:t xml:space="preserve">. </w:t>
      </w:r>
    </w:p>
    <w:p w14:paraId="29820E2E" w14:textId="77777777" w:rsidR="001B4128" w:rsidRDefault="001B4128"/>
    <w:p w14:paraId="4C924E61" w14:textId="4118EAA9" w:rsidR="00B75487" w:rsidRDefault="00D12809">
      <w:r w:rsidRPr="00D12809">
        <w:t>A fourth reason for lack of reproducibility among different</w:t>
      </w:r>
      <w:r w:rsidR="008265FA">
        <w:t xml:space="preserve"> datasets is that</w:t>
      </w:r>
      <w:r w:rsidRPr="00D12809">
        <w:t xml:space="preserve"> compositional differences in the underlying subpopulations comprising the datasets may cause differences in the results generated by each dataset. For example, imagine that we are investigating differentially-expressed genes (DEGs) between diseased and healthy populations. Suppose that the disease under study has two distinct subtypes</w:t>
      </w:r>
      <w:r w:rsidR="003B69AF">
        <w:t>.</w:t>
      </w:r>
      <w:r w:rsidR="006327B4">
        <w:t xml:space="preserve"> </w:t>
      </w:r>
      <w:r w:rsidRPr="00D12809">
        <w:t xml:space="preserve">Also imagine that the diseased population in dataset 1 contained 70% samples from subtype 1 and 20% samples from subtype 2, while that in dataset 2 contained 20% from subtype 1 and 80% from subtype 2. In </w:t>
      </w:r>
      <w:r>
        <w:t>this case</w:t>
      </w:r>
      <w:r w:rsidRPr="00D12809">
        <w:t xml:space="preserve">, the DEGs from dataset 1 would be dominated by those differentiating subtype 1 </w:t>
      </w:r>
      <w:r w:rsidR="006327B4">
        <w:t xml:space="preserve">samples </w:t>
      </w:r>
      <w:r w:rsidRPr="00D12809">
        <w:t xml:space="preserve">from </w:t>
      </w:r>
      <w:r>
        <w:t xml:space="preserve">the </w:t>
      </w:r>
      <w:r w:rsidRPr="00D12809">
        <w:t xml:space="preserve">healthy </w:t>
      </w:r>
      <w:r>
        <w:t xml:space="preserve">samples, </w:t>
      </w:r>
      <w:r w:rsidR="006327B4">
        <w:t xml:space="preserve">while those from dataset 2 would be dominated by </w:t>
      </w:r>
      <w:r w:rsidR="006327B4" w:rsidRPr="00D12809">
        <w:t xml:space="preserve">those differentiating subtype </w:t>
      </w:r>
      <w:r w:rsidR="006327B4">
        <w:t>2</w:t>
      </w:r>
      <w:r w:rsidR="006327B4" w:rsidRPr="00D12809">
        <w:t xml:space="preserve"> </w:t>
      </w:r>
      <w:r w:rsidR="006327B4">
        <w:t>samples</w:t>
      </w:r>
      <w:r w:rsidR="006327B4">
        <w:t xml:space="preserve"> from dataset 2. If the two subtypes are sufficiently different in terms of </w:t>
      </w:r>
      <w:r w:rsidR="006327B4" w:rsidRPr="00D12809">
        <w:t>gene expression profiles and underlying pathological pathways</w:t>
      </w:r>
      <w:r w:rsidR="006327B4">
        <w:t xml:space="preserve">, then </w:t>
      </w:r>
      <w:r w:rsidR="006327B4">
        <w:lastRenderedPageBreak/>
        <w:t>there would be very little overlap</w:t>
      </w:r>
      <w:r w:rsidR="003B69AF">
        <w:t xml:space="preserve"> between the DEG lists obtained from the two dat</w:t>
      </w:r>
      <w:r w:rsidR="008265FA">
        <w:t xml:space="preserve">asets. </w:t>
      </w:r>
      <w:r w:rsidR="00185DC7">
        <w:t xml:space="preserve">Compositional differences may also arise from factors such as age, </w:t>
      </w:r>
      <w:r w:rsidR="00E848E3">
        <w:t>gender or race.</w:t>
      </w:r>
      <w:r w:rsidR="00185DC7">
        <w:t xml:space="preserve">  </w:t>
      </w:r>
    </w:p>
    <w:p w14:paraId="3813D811" w14:textId="77777777" w:rsidR="00B45554" w:rsidRDefault="00B45554"/>
    <w:p w14:paraId="0E6E95C9" w14:textId="4C8DFE73" w:rsidR="00B45554" w:rsidRDefault="00B45554">
      <w:r w:rsidRPr="00B45554">
        <w:t>There have been several methods proposed to rescue reproducibility from all these forces adversely affecting it. For instance,</w:t>
      </w:r>
      <w:r>
        <w:t xml:space="preserve"> to overcome </w:t>
      </w:r>
      <w:r w:rsidR="00574AFB">
        <w:t xml:space="preserve">the problem of </w:t>
      </w:r>
      <w:r w:rsidR="00CD77F8">
        <w:t>erasure of biological signal due to</w:t>
      </w:r>
      <w:r w:rsidR="00E345CB">
        <w:t xml:space="preserve"> global</w:t>
      </w:r>
      <w:r w:rsidR="00CD77F8">
        <w:t xml:space="preserve"> quantile normalization, </w:t>
      </w:r>
      <w:r w:rsidR="00724E8F">
        <w:fldChar w:fldCharType="begin"/>
      </w:r>
      <w:r w:rsidR="00EA3558">
        <w:instrText xml:space="preserve"> ADDIN ZOTERO_ITEM CSL_CITATION {"citationID":"GAyFjjO7","properties":{"custom":"Zhao et al. (2020)","formattedCitation":"Zhao et al. (2020)","plainCitation":"Zhao et al. (2020)","noteIndex":0},"citationItems":[{"id":2145,"uris":["http://zotero.org/users/6562882/items/3MXHLZBW"],"itemData":{"id":2145,"type":"article-journal","abstract":"Quantile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724E8F">
        <w:fldChar w:fldCharType="separate"/>
      </w:r>
      <w:r w:rsidR="00EA3558">
        <w:rPr>
          <w:noProof/>
        </w:rPr>
        <w:t>Zhao et al. (2020)</w:t>
      </w:r>
      <w:r w:rsidR="00724E8F">
        <w:fldChar w:fldCharType="end"/>
      </w:r>
    </w:p>
    <w:p w14:paraId="6EED9A39" w14:textId="77777777" w:rsidR="00D12809" w:rsidRDefault="00D12809"/>
    <w:p w14:paraId="279041AD" w14:textId="1BBA4174" w:rsidR="004B2AC1" w:rsidRDefault="004B2AC1" w:rsidP="004B2AC1">
      <w:pPr>
        <w:pStyle w:val="Heading1"/>
        <w:rPr>
          <w:lang w:val="en-US"/>
        </w:rPr>
      </w:pPr>
      <w:r>
        <w:rPr>
          <w:lang w:val="en-US"/>
        </w:rPr>
        <w:t>Bibliography</w:t>
      </w:r>
    </w:p>
    <w:p w14:paraId="259D465B" w14:textId="77777777" w:rsidR="001F2739" w:rsidRPr="001F2739" w:rsidRDefault="001F2739" w:rsidP="001F2739">
      <w:pPr>
        <w:rPr>
          <w:lang w:val="en-US"/>
        </w:rPr>
      </w:pPr>
    </w:p>
    <w:p w14:paraId="1C349803" w14:textId="77777777" w:rsidR="00EA3558" w:rsidRPr="00EA3558" w:rsidRDefault="001F2739" w:rsidP="00EA3558">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EA3558" w:rsidRPr="00EA3558">
        <w:rPr>
          <w:rFonts w:ascii="Calibri" w:cs="Calibri"/>
          <w:lang w:val="en-GB"/>
        </w:rPr>
        <w:t xml:space="preserve">Dai, X., Li, T., Bai, Z., Yang, Y., Liu, X., Zhan, J., &amp; Shi, B. (2015). Breast cancer intrinsic subtype classification, clinical </w:t>
      </w:r>
      <w:proofErr w:type="gramStart"/>
      <w:r w:rsidR="00EA3558" w:rsidRPr="00EA3558">
        <w:rPr>
          <w:rFonts w:ascii="Calibri" w:cs="Calibri"/>
          <w:lang w:val="en-GB"/>
        </w:rPr>
        <w:t>use</w:t>
      </w:r>
      <w:proofErr w:type="gramEnd"/>
      <w:r w:rsidR="00EA3558" w:rsidRPr="00EA3558">
        <w:rPr>
          <w:rFonts w:ascii="Calibri" w:cs="Calibri"/>
          <w:lang w:val="en-GB"/>
        </w:rPr>
        <w:t xml:space="preserve"> and future trends. </w:t>
      </w:r>
      <w:r w:rsidR="00EA3558" w:rsidRPr="00EA3558">
        <w:rPr>
          <w:rFonts w:ascii="Calibri" w:cs="Calibri"/>
          <w:i/>
          <w:iCs/>
          <w:lang w:val="en-GB"/>
        </w:rPr>
        <w:t>American Journal of Cancer Research</w:t>
      </w:r>
      <w:r w:rsidR="00EA3558" w:rsidRPr="00EA3558">
        <w:rPr>
          <w:rFonts w:ascii="Calibri" w:cs="Calibri"/>
          <w:lang w:val="en-GB"/>
        </w:rPr>
        <w:t xml:space="preserve">, </w:t>
      </w:r>
      <w:r w:rsidR="00EA3558" w:rsidRPr="00EA3558">
        <w:rPr>
          <w:rFonts w:ascii="Calibri" w:cs="Calibri"/>
          <w:i/>
          <w:iCs/>
          <w:lang w:val="en-GB"/>
        </w:rPr>
        <w:t>5</w:t>
      </w:r>
      <w:r w:rsidR="00EA3558" w:rsidRPr="00EA3558">
        <w:rPr>
          <w:rFonts w:ascii="Calibri" w:cs="Calibri"/>
          <w:lang w:val="en-GB"/>
        </w:rPr>
        <w:t>(10), 2929–2943. https://www.ncbi.nlm.nih.gov/pmc/articles/PMC4656721/</w:t>
      </w:r>
    </w:p>
    <w:p w14:paraId="28B87246" w14:textId="77777777" w:rsidR="00EA3558" w:rsidRPr="00EA3558" w:rsidRDefault="00EA3558" w:rsidP="00EA3558">
      <w:pPr>
        <w:pStyle w:val="Bibliography"/>
        <w:rPr>
          <w:rFonts w:ascii="Calibri" w:cs="Calibri"/>
          <w:lang w:val="en-GB"/>
        </w:rPr>
      </w:pPr>
      <w:proofErr w:type="spellStart"/>
      <w:r w:rsidRPr="00EA3558">
        <w:rPr>
          <w:rFonts w:ascii="Calibri" w:cs="Calibri"/>
          <w:lang w:val="en-GB"/>
        </w:rPr>
        <w:t>Draghici</w:t>
      </w:r>
      <w:proofErr w:type="spellEnd"/>
      <w:r w:rsidRPr="00EA3558">
        <w:rPr>
          <w:rFonts w:ascii="Calibri" w:cs="Calibri"/>
          <w:lang w:val="en-GB"/>
        </w:rPr>
        <w:t xml:space="preserve">, S., Khatri, P., Eklund, A. C., &amp; </w:t>
      </w:r>
      <w:proofErr w:type="spellStart"/>
      <w:r w:rsidRPr="00EA3558">
        <w:rPr>
          <w:rFonts w:ascii="Calibri" w:cs="Calibri"/>
          <w:lang w:val="en-GB"/>
        </w:rPr>
        <w:t>Szallasi</w:t>
      </w:r>
      <w:proofErr w:type="spellEnd"/>
      <w:r w:rsidRPr="00EA3558">
        <w:rPr>
          <w:rFonts w:ascii="Calibri" w:cs="Calibri"/>
          <w:lang w:val="en-GB"/>
        </w:rPr>
        <w:t xml:space="preserve">, Z. (2006). Reliability and reproducibility issues in DNA microarray measurements. </w:t>
      </w:r>
      <w:r w:rsidRPr="00EA3558">
        <w:rPr>
          <w:rFonts w:ascii="Calibri" w:cs="Calibri"/>
          <w:i/>
          <w:iCs/>
          <w:lang w:val="en-GB"/>
        </w:rPr>
        <w:t xml:space="preserve">Trends in </w:t>
      </w:r>
      <w:proofErr w:type="gramStart"/>
      <w:r w:rsidRPr="00EA3558">
        <w:rPr>
          <w:rFonts w:ascii="Calibri" w:cs="Calibri"/>
          <w:i/>
          <w:iCs/>
          <w:lang w:val="en-GB"/>
        </w:rPr>
        <w:t>Genetics :</w:t>
      </w:r>
      <w:proofErr w:type="gramEnd"/>
      <w:r w:rsidRPr="00EA3558">
        <w:rPr>
          <w:rFonts w:ascii="Calibri" w:cs="Calibri"/>
          <w:i/>
          <w:iCs/>
          <w:lang w:val="en-GB"/>
        </w:rPr>
        <w:t xml:space="preserve"> TIG</w:t>
      </w:r>
      <w:r w:rsidRPr="00EA3558">
        <w:rPr>
          <w:rFonts w:ascii="Calibri" w:cs="Calibri"/>
          <w:lang w:val="en-GB"/>
        </w:rPr>
        <w:t xml:space="preserve">, </w:t>
      </w:r>
      <w:r w:rsidRPr="00EA3558">
        <w:rPr>
          <w:rFonts w:ascii="Calibri" w:cs="Calibri"/>
          <w:i/>
          <w:iCs/>
          <w:lang w:val="en-GB"/>
        </w:rPr>
        <w:t>22</w:t>
      </w:r>
      <w:r w:rsidRPr="00EA3558">
        <w:rPr>
          <w:rFonts w:ascii="Calibri" w:cs="Calibri"/>
          <w:lang w:val="en-GB"/>
        </w:rPr>
        <w:t>(2), 101–109. https://doi.org/10.1016/j.tig.2005.12.005</w:t>
      </w:r>
    </w:p>
    <w:p w14:paraId="4704B056" w14:textId="77777777" w:rsidR="00EA3558" w:rsidRPr="00EA3558" w:rsidRDefault="00EA3558" w:rsidP="00EA3558">
      <w:pPr>
        <w:pStyle w:val="Bibliography"/>
        <w:rPr>
          <w:rFonts w:ascii="Calibri" w:cs="Calibri"/>
          <w:lang w:val="en-GB"/>
        </w:rPr>
      </w:pPr>
      <w:r w:rsidRPr="00EA3558">
        <w:rPr>
          <w:rFonts w:ascii="Calibri" w:cs="Calibri"/>
          <w:lang w:val="en-GB"/>
        </w:rPr>
        <w:t xml:space="preserve">Goh, W. W. B., Wang, W., &amp; Wong, L. (2017). Why Batch Effects Matter in Omics Data, and How to Avoid Them. </w:t>
      </w:r>
      <w:r w:rsidRPr="00EA3558">
        <w:rPr>
          <w:rFonts w:ascii="Calibri" w:cs="Calibri"/>
          <w:i/>
          <w:iCs/>
          <w:lang w:val="en-GB"/>
        </w:rPr>
        <w:t>Trends in Biotechnology</w:t>
      </w:r>
      <w:r w:rsidRPr="00EA3558">
        <w:rPr>
          <w:rFonts w:ascii="Calibri" w:cs="Calibri"/>
          <w:lang w:val="en-GB"/>
        </w:rPr>
        <w:t xml:space="preserve">, </w:t>
      </w:r>
      <w:r w:rsidRPr="00EA3558">
        <w:rPr>
          <w:rFonts w:ascii="Calibri" w:cs="Calibri"/>
          <w:i/>
          <w:iCs/>
          <w:lang w:val="en-GB"/>
        </w:rPr>
        <w:t>35</w:t>
      </w:r>
      <w:r w:rsidRPr="00EA3558">
        <w:rPr>
          <w:rFonts w:ascii="Calibri" w:cs="Calibri"/>
          <w:lang w:val="en-GB"/>
        </w:rPr>
        <w:t>(6), 498–507. https://doi.org/10.1016/j.tibtech.2017.02.012</w:t>
      </w:r>
    </w:p>
    <w:p w14:paraId="19EDA2F8" w14:textId="77777777" w:rsidR="00EA3558" w:rsidRPr="00EA3558" w:rsidRDefault="00EA3558" w:rsidP="00EA3558">
      <w:pPr>
        <w:pStyle w:val="Bibliography"/>
        <w:rPr>
          <w:rFonts w:ascii="Calibri" w:cs="Calibri"/>
          <w:lang w:val="en-GB"/>
        </w:rPr>
      </w:pPr>
      <w:r w:rsidRPr="00EA3558">
        <w:rPr>
          <w:rFonts w:ascii="Calibri" w:cs="Calibri"/>
          <w:lang w:val="en-GB"/>
        </w:rPr>
        <w:t xml:space="preserve">Huang, S., Murphy, L., &amp; Xu, W. (2018). Genes and functions from breast cancer signatures. </w:t>
      </w:r>
      <w:r w:rsidRPr="00EA3558">
        <w:rPr>
          <w:rFonts w:ascii="Calibri" w:cs="Calibri"/>
          <w:i/>
          <w:iCs/>
          <w:lang w:val="en-GB"/>
        </w:rPr>
        <w:t>BMC Cancer</w:t>
      </w:r>
      <w:r w:rsidRPr="00EA3558">
        <w:rPr>
          <w:rFonts w:ascii="Calibri" w:cs="Calibri"/>
          <w:lang w:val="en-GB"/>
        </w:rPr>
        <w:t xml:space="preserve">, </w:t>
      </w:r>
      <w:r w:rsidRPr="00EA3558">
        <w:rPr>
          <w:rFonts w:ascii="Calibri" w:cs="Calibri"/>
          <w:i/>
          <w:iCs/>
          <w:lang w:val="en-GB"/>
        </w:rPr>
        <w:t>18</w:t>
      </w:r>
      <w:r w:rsidRPr="00EA3558">
        <w:rPr>
          <w:rFonts w:ascii="Calibri" w:cs="Calibri"/>
          <w:lang w:val="en-GB"/>
        </w:rPr>
        <w:t>(1), 473. https://doi.org/10.1186/s12885-018-4388-4</w:t>
      </w:r>
    </w:p>
    <w:p w14:paraId="4C91C1C2" w14:textId="77777777" w:rsidR="00EA3558" w:rsidRPr="00EA3558" w:rsidRDefault="00EA3558" w:rsidP="00EA3558">
      <w:pPr>
        <w:pStyle w:val="Bibliography"/>
        <w:rPr>
          <w:rFonts w:ascii="Calibri" w:cs="Calibri"/>
          <w:lang w:val="en-GB"/>
        </w:rPr>
      </w:pPr>
      <w:r w:rsidRPr="00EA3558">
        <w:rPr>
          <w:rFonts w:ascii="Calibri" w:cs="Calibri"/>
          <w:lang w:val="en-GB"/>
        </w:rPr>
        <w:t xml:space="preserve">Johnson, W. E., Li, C., &amp; </w:t>
      </w:r>
      <w:proofErr w:type="spellStart"/>
      <w:r w:rsidRPr="00EA3558">
        <w:rPr>
          <w:rFonts w:ascii="Calibri" w:cs="Calibri"/>
          <w:lang w:val="en-GB"/>
        </w:rPr>
        <w:t>Rabinovic</w:t>
      </w:r>
      <w:proofErr w:type="spellEnd"/>
      <w:r w:rsidRPr="00EA3558">
        <w:rPr>
          <w:rFonts w:ascii="Calibri" w:cs="Calibri"/>
          <w:lang w:val="en-GB"/>
        </w:rPr>
        <w:t xml:space="preserve">, A. (2007). Adjusting batch effects in microarray expression data using empirical Bayes methods. </w:t>
      </w:r>
      <w:r w:rsidRPr="00EA3558">
        <w:rPr>
          <w:rFonts w:ascii="Calibri" w:cs="Calibri"/>
          <w:i/>
          <w:iCs/>
          <w:lang w:val="en-GB"/>
        </w:rPr>
        <w:t>Biostatistics</w:t>
      </w:r>
      <w:r w:rsidRPr="00EA3558">
        <w:rPr>
          <w:rFonts w:ascii="Calibri" w:cs="Calibri"/>
          <w:lang w:val="en-GB"/>
        </w:rPr>
        <w:t xml:space="preserve">, </w:t>
      </w:r>
      <w:r w:rsidRPr="00EA3558">
        <w:rPr>
          <w:rFonts w:ascii="Calibri" w:cs="Calibri"/>
          <w:i/>
          <w:iCs/>
          <w:lang w:val="en-GB"/>
        </w:rPr>
        <w:t>8</w:t>
      </w:r>
      <w:r w:rsidRPr="00EA3558">
        <w:rPr>
          <w:rFonts w:ascii="Calibri" w:cs="Calibri"/>
          <w:lang w:val="en-GB"/>
        </w:rPr>
        <w:t>(1), 118–127. https://doi.org/10.1093/biostatistics/kxj037</w:t>
      </w:r>
    </w:p>
    <w:p w14:paraId="0EC31C20" w14:textId="77777777" w:rsidR="00EA3558" w:rsidRPr="00EA3558" w:rsidRDefault="00EA3558" w:rsidP="00EA3558">
      <w:pPr>
        <w:pStyle w:val="Bibliography"/>
        <w:rPr>
          <w:rFonts w:ascii="Calibri" w:cs="Calibri"/>
          <w:lang w:val="en-GB"/>
        </w:rPr>
      </w:pPr>
      <w:r w:rsidRPr="00EA3558">
        <w:rPr>
          <w:rFonts w:ascii="Calibri" w:cs="Calibri"/>
          <w:lang w:val="en-GB"/>
        </w:rPr>
        <w:t xml:space="preserve">Kim, C. S., Hwang, S., &amp; Zhang, S.-D. (2014). RMA with quantile normalization mixes biological signals between different sample groups in microarray data analysis. </w:t>
      </w:r>
      <w:r w:rsidRPr="00EA3558">
        <w:rPr>
          <w:rFonts w:ascii="Calibri" w:cs="Calibri"/>
          <w:i/>
          <w:iCs/>
          <w:lang w:val="en-GB"/>
        </w:rPr>
        <w:t xml:space="preserve">2014 </w:t>
      </w:r>
      <w:r w:rsidRPr="00EA3558">
        <w:rPr>
          <w:rFonts w:ascii="Calibri" w:cs="Calibri"/>
          <w:i/>
          <w:iCs/>
          <w:lang w:val="en-GB"/>
        </w:rPr>
        <w:lastRenderedPageBreak/>
        <w:t>IEEE International Conference on Bioinformatics and Biomedicine (BIBM)</w:t>
      </w:r>
      <w:r w:rsidRPr="00EA3558">
        <w:rPr>
          <w:rFonts w:ascii="Calibri" w:cs="Calibri"/>
          <w:lang w:val="en-GB"/>
        </w:rPr>
        <w:t>, 139–143. https://doi.org/10.1109/BIBM.2014.6999142</w:t>
      </w:r>
    </w:p>
    <w:p w14:paraId="6E1AB9A2" w14:textId="77777777" w:rsidR="00EA3558" w:rsidRPr="00EA3558" w:rsidRDefault="00EA3558" w:rsidP="00EA3558">
      <w:pPr>
        <w:pStyle w:val="Bibliography"/>
        <w:rPr>
          <w:rFonts w:ascii="Calibri" w:cs="Calibri"/>
          <w:lang w:val="en-GB"/>
        </w:rPr>
      </w:pPr>
      <w:r w:rsidRPr="00EA3558">
        <w:rPr>
          <w:rFonts w:ascii="Calibri" w:cs="Calibri"/>
          <w:lang w:val="en-GB"/>
        </w:rPr>
        <w:t xml:space="preserve">Leek, J. T., &amp; Storey, J. D. (2007). Capturing Heterogeneity in Gene Expression Studies by Surrogate Variable Analysis. </w:t>
      </w:r>
      <w:proofErr w:type="spellStart"/>
      <w:r w:rsidRPr="00EA3558">
        <w:rPr>
          <w:rFonts w:ascii="Calibri" w:cs="Calibri"/>
          <w:i/>
          <w:iCs/>
          <w:lang w:val="en-GB"/>
        </w:rPr>
        <w:t>PLoS</w:t>
      </w:r>
      <w:proofErr w:type="spellEnd"/>
      <w:r w:rsidRPr="00EA3558">
        <w:rPr>
          <w:rFonts w:ascii="Calibri" w:cs="Calibri"/>
          <w:i/>
          <w:iCs/>
          <w:lang w:val="en-GB"/>
        </w:rPr>
        <w:t xml:space="preserve"> Genetics</w:t>
      </w:r>
      <w:r w:rsidRPr="00EA3558">
        <w:rPr>
          <w:rFonts w:ascii="Calibri" w:cs="Calibri"/>
          <w:lang w:val="en-GB"/>
        </w:rPr>
        <w:t xml:space="preserve">, </w:t>
      </w:r>
      <w:r w:rsidRPr="00EA3558">
        <w:rPr>
          <w:rFonts w:ascii="Calibri" w:cs="Calibri"/>
          <w:i/>
          <w:iCs/>
          <w:lang w:val="en-GB"/>
        </w:rPr>
        <w:t>3</w:t>
      </w:r>
      <w:r w:rsidRPr="00EA3558">
        <w:rPr>
          <w:rFonts w:ascii="Calibri" w:cs="Calibri"/>
          <w:lang w:val="en-GB"/>
        </w:rPr>
        <w:t>(9), e161. https://doi.org/10.1371/journal.pgen.0030161</w:t>
      </w:r>
    </w:p>
    <w:p w14:paraId="12507D08" w14:textId="77777777" w:rsidR="00EA3558" w:rsidRPr="00EA3558" w:rsidRDefault="00EA3558" w:rsidP="00EA3558">
      <w:pPr>
        <w:pStyle w:val="Bibliography"/>
        <w:rPr>
          <w:rFonts w:ascii="Calibri" w:cs="Calibri"/>
          <w:lang w:val="en-GB"/>
        </w:rPr>
      </w:pPr>
      <w:r w:rsidRPr="00EA3558">
        <w:rPr>
          <w:rFonts w:ascii="Calibri" w:cs="Calibri"/>
          <w:lang w:val="en-GB"/>
        </w:rPr>
        <w:t xml:space="preserve">Shi, L., Jones, W. D., Jensen, R. V., Harris, S. C., Perkins, R. G., </w:t>
      </w:r>
      <w:proofErr w:type="spellStart"/>
      <w:r w:rsidRPr="00EA3558">
        <w:rPr>
          <w:rFonts w:ascii="Calibri" w:cs="Calibri"/>
          <w:lang w:val="en-GB"/>
        </w:rPr>
        <w:t>Goodsaid</w:t>
      </w:r>
      <w:proofErr w:type="spellEnd"/>
      <w:r w:rsidRPr="00EA3558">
        <w:rPr>
          <w:rFonts w:ascii="Calibri" w:cs="Calibri"/>
          <w:lang w:val="en-GB"/>
        </w:rPr>
        <w:t xml:space="preserve">, F. M., Guo, L., Croner, L. J., Boysen, C., Fang, H., Qian, F., Amur, S., Bao, W., </w:t>
      </w:r>
      <w:proofErr w:type="spellStart"/>
      <w:r w:rsidRPr="00EA3558">
        <w:rPr>
          <w:rFonts w:ascii="Calibri" w:cs="Calibri"/>
          <w:lang w:val="en-GB"/>
        </w:rPr>
        <w:t>Barbacioru</w:t>
      </w:r>
      <w:proofErr w:type="spellEnd"/>
      <w:r w:rsidRPr="00EA3558">
        <w:rPr>
          <w:rFonts w:ascii="Calibri" w:cs="Calibri"/>
          <w:lang w:val="en-GB"/>
        </w:rPr>
        <w:t xml:space="preserve">, C. C., </w:t>
      </w:r>
      <w:proofErr w:type="spellStart"/>
      <w:r w:rsidRPr="00EA3558">
        <w:rPr>
          <w:rFonts w:ascii="Calibri" w:cs="Calibri"/>
          <w:lang w:val="en-GB"/>
        </w:rPr>
        <w:t>Bertholet</w:t>
      </w:r>
      <w:proofErr w:type="spellEnd"/>
      <w:r w:rsidRPr="00EA3558">
        <w:rPr>
          <w:rFonts w:ascii="Calibri" w:cs="Calibri"/>
          <w:lang w:val="en-GB"/>
        </w:rPr>
        <w:t xml:space="preserve">, V., Cao, X. M., Chu, T.-M., Collins, P. J., Fan, X., … Tong, W. (2008). The balance of reproducibility, sensitivity, and specificity of lists of differentially expressed genes in microarray studies. </w:t>
      </w:r>
      <w:r w:rsidRPr="00EA3558">
        <w:rPr>
          <w:rFonts w:ascii="Calibri" w:cs="Calibri"/>
          <w:i/>
          <w:iCs/>
          <w:lang w:val="en-GB"/>
        </w:rPr>
        <w:t>BMC Bioinformatics</w:t>
      </w:r>
      <w:r w:rsidRPr="00EA3558">
        <w:rPr>
          <w:rFonts w:ascii="Calibri" w:cs="Calibri"/>
          <w:lang w:val="en-GB"/>
        </w:rPr>
        <w:t xml:space="preserve">, </w:t>
      </w:r>
      <w:r w:rsidRPr="00EA3558">
        <w:rPr>
          <w:rFonts w:ascii="Calibri" w:cs="Calibri"/>
          <w:i/>
          <w:iCs/>
          <w:lang w:val="en-GB"/>
        </w:rPr>
        <w:t>9</w:t>
      </w:r>
      <w:r w:rsidRPr="00EA3558">
        <w:rPr>
          <w:rFonts w:ascii="Calibri" w:cs="Calibri"/>
          <w:lang w:val="en-GB"/>
        </w:rPr>
        <w:t>(</w:t>
      </w:r>
      <w:proofErr w:type="spellStart"/>
      <w:r w:rsidRPr="00EA3558">
        <w:rPr>
          <w:rFonts w:ascii="Calibri" w:cs="Calibri"/>
          <w:lang w:val="en-GB"/>
        </w:rPr>
        <w:t>Suppl</w:t>
      </w:r>
      <w:proofErr w:type="spellEnd"/>
      <w:r w:rsidRPr="00EA3558">
        <w:rPr>
          <w:rFonts w:ascii="Calibri" w:cs="Calibri"/>
          <w:lang w:val="en-GB"/>
        </w:rPr>
        <w:t xml:space="preserve"> 9), S10. https://doi.org/10.1186/1471-2105-9-S9-S10</w:t>
      </w:r>
    </w:p>
    <w:p w14:paraId="34D95514" w14:textId="77777777" w:rsidR="00EA3558" w:rsidRPr="00EA3558" w:rsidRDefault="00EA3558" w:rsidP="00EA3558">
      <w:pPr>
        <w:pStyle w:val="Bibliography"/>
        <w:rPr>
          <w:rFonts w:ascii="Calibri" w:cs="Calibri"/>
          <w:lang w:val="en-GB"/>
        </w:rPr>
      </w:pPr>
      <w:r w:rsidRPr="00EA3558">
        <w:rPr>
          <w:rFonts w:ascii="Calibri" w:cs="Calibri"/>
          <w:lang w:val="en-GB"/>
        </w:rPr>
        <w:t xml:space="preserve">Sweeney, T. E., Haynes, W. A., </w:t>
      </w:r>
      <w:proofErr w:type="spellStart"/>
      <w:r w:rsidRPr="00EA3558">
        <w:rPr>
          <w:rFonts w:ascii="Calibri" w:cs="Calibri"/>
          <w:lang w:val="en-GB"/>
        </w:rPr>
        <w:t>Vallania</w:t>
      </w:r>
      <w:proofErr w:type="spellEnd"/>
      <w:r w:rsidRPr="00EA3558">
        <w:rPr>
          <w:rFonts w:ascii="Calibri" w:cs="Calibri"/>
          <w:lang w:val="en-GB"/>
        </w:rPr>
        <w:t xml:space="preserve">, F., Ioannidis, J. P., &amp; Khatri, P. (2017). Methods to increase reproducibility in differential gene expression via meta-analysis. </w:t>
      </w:r>
      <w:r w:rsidRPr="00EA3558">
        <w:rPr>
          <w:rFonts w:ascii="Calibri" w:cs="Calibri"/>
          <w:i/>
          <w:iCs/>
          <w:lang w:val="en-GB"/>
        </w:rPr>
        <w:t>Nucleic Acids Research</w:t>
      </w:r>
      <w:r w:rsidRPr="00EA3558">
        <w:rPr>
          <w:rFonts w:ascii="Calibri" w:cs="Calibri"/>
          <w:lang w:val="en-GB"/>
        </w:rPr>
        <w:t xml:space="preserve">, </w:t>
      </w:r>
      <w:r w:rsidRPr="00EA3558">
        <w:rPr>
          <w:rFonts w:ascii="Calibri" w:cs="Calibri"/>
          <w:i/>
          <w:iCs/>
          <w:lang w:val="en-GB"/>
        </w:rPr>
        <w:t>45</w:t>
      </w:r>
      <w:r w:rsidRPr="00EA3558">
        <w:rPr>
          <w:rFonts w:ascii="Calibri" w:cs="Calibri"/>
          <w:lang w:val="en-GB"/>
        </w:rPr>
        <w:t>(1), e1. https://doi.org/10.1093/nar/gkw797</w:t>
      </w:r>
    </w:p>
    <w:p w14:paraId="10A1AA73" w14:textId="77777777" w:rsidR="00EA3558" w:rsidRPr="00EA3558" w:rsidRDefault="00EA3558" w:rsidP="00EA3558">
      <w:pPr>
        <w:pStyle w:val="Bibliography"/>
        <w:rPr>
          <w:rFonts w:ascii="Calibri" w:cs="Calibri"/>
          <w:lang w:val="en-GB"/>
        </w:rPr>
      </w:pPr>
      <w:r w:rsidRPr="00EA3558">
        <w:rPr>
          <w:rFonts w:ascii="Calibri" w:cs="Calibri"/>
          <w:lang w:val="en-GB"/>
        </w:rPr>
        <w:t xml:space="preserve">Zhao, Y., Wong, L., &amp; Goh, W. W. B. (2020). How to do quantile normalization correctly for gene expression data analyses. </w:t>
      </w:r>
      <w:r w:rsidRPr="00EA3558">
        <w:rPr>
          <w:rFonts w:ascii="Calibri" w:cs="Calibri"/>
          <w:i/>
          <w:iCs/>
          <w:lang w:val="en-GB"/>
        </w:rPr>
        <w:t>Scientific Reports</w:t>
      </w:r>
      <w:r w:rsidRPr="00EA3558">
        <w:rPr>
          <w:rFonts w:ascii="Calibri" w:cs="Calibri"/>
          <w:lang w:val="en-GB"/>
        </w:rPr>
        <w:t xml:space="preserve">, </w:t>
      </w:r>
      <w:r w:rsidRPr="00EA3558">
        <w:rPr>
          <w:rFonts w:ascii="Calibri" w:cs="Calibri"/>
          <w:i/>
          <w:iCs/>
          <w:lang w:val="en-GB"/>
        </w:rPr>
        <w:t>10</w:t>
      </w:r>
      <w:r w:rsidRPr="00EA3558">
        <w:rPr>
          <w:rFonts w:ascii="Calibri" w:cs="Calibri"/>
          <w:lang w:val="en-GB"/>
        </w:rPr>
        <w:t>(1), Article 1. https://doi.org/10.1038/s41598-020-72664-6</w:t>
      </w:r>
    </w:p>
    <w:p w14:paraId="6E4D8D9F" w14:textId="4AC0DA1B" w:rsidR="004B2AC1" w:rsidRDefault="001F2739" w:rsidP="004B2AC1">
      <w:pPr>
        <w:rPr>
          <w:lang w:val="en-US"/>
        </w:rPr>
      </w:pPr>
      <w:r>
        <w:rPr>
          <w:lang w:val="en-US"/>
        </w:rPr>
        <w:fldChar w:fldCharType="end"/>
      </w:r>
    </w:p>
    <w:p w14:paraId="797A642B" w14:textId="77777777" w:rsidR="004B2AC1" w:rsidRPr="004B2AC1" w:rsidRDefault="004B2AC1" w:rsidP="004B2AC1">
      <w:pPr>
        <w:rPr>
          <w:lang w:val="en-US"/>
        </w:rPr>
      </w:pPr>
    </w:p>
    <w:sectPr w:rsidR="004B2AC1" w:rsidRPr="004B2AC1" w:rsidSect="00545E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6"/>
    <w:rsid w:val="00013440"/>
    <w:rsid w:val="00051454"/>
    <w:rsid w:val="000A06C7"/>
    <w:rsid w:val="000D5B4C"/>
    <w:rsid w:val="00122AEF"/>
    <w:rsid w:val="00151F7B"/>
    <w:rsid w:val="001839F2"/>
    <w:rsid w:val="00185DC7"/>
    <w:rsid w:val="001B4128"/>
    <w:rsid w:val="001C779B"/>
    <w:rsid w:val="001E1372"/>
    <w:rsid w:val="001F2739"/>
    <w:rsid w:val="00203D61"/>
    <w:rsid w:val="002C087C"/>
    <w:rsid w:val="00337766"/>
    <w:rsid w:val="00395D02"/>
    <w:rsid w:val="003B196F"/>
    <w:rsid w:val="003B69AF"/>
    <w:rsid w:val="003D3904"/>
    <w:rsid w:val="004B2AC1"/>
    <w:rsid w:val="004F5734"/>
    <w:rsid w:val="004F6149"/>
    <w:rsid w:val="00545E9F"/>
    <w:rsid w:val="00567E3F"/>
    <w:rsid w:val="00574AFB"/>
    <w:rsid w:val="005C5E89"/>
    <w:rsid w:val="005D0F6E"/>
    <w:rsid w:val="005E7B6D"/>
    <w:rsid w:val="0060799D"/>
    <w:rsid w:val="006327B4"/>
    <w:rsid w:val="00640C2D"/>
    <w:rsid w:val="006435F1"/>
    <w:rsid w:val="006A5508"/>
    <w:rsid w:val="007002DE"/>
    <w:rsid w:val="00703184"/>
    <w:rsid w:val="00712368"/>
    <w:rsid w:val="00724E8F"/>
    <w:rsid w:val="007E0D06"/>
    <w:rsid w:val="008265FA"/>
    <w:rsid w:val="008409AB"/>
    <w:rsid w:val="00857231"/>
    <w:rsid w:val="008A4F97"/>
    <w:rsid w:val="00900529"/>
    <w:rsid w:val="009309A3"/>
    <w:rsid w:val="0094095D"/>
    <w:rsid w:val="00940FEA"/>
    <w:rsid w:val="009453CF"/>
    <w:rsid w:val="009B2833"/>
    <w:rsid w:val="00A76005"/>
    <w:rsid w:val="00A86F54"/>
    <w:rsid w:val="00AA055C"/>
    <w:rsid w:val="00AA2E86"/>
    <w:rsid w:val="00AF2F7C"/>
    <w:rsid w:val="00B032C1"/>
    <w:rsid w:val="00B45554"/>
    <w:rsid w:val="00B52503"/>
    <w:rsid w:val="00B75487"/>
    <w:rsid w:val="00B8040F"/>
    <w:rsid w:val="00BE13A8"/>
    <w:rsid w:val="00C15C85"/>
    <w:rsid w:val="00C75FC4"/>
    <w:rsid w:val="00C9137D"/>
    <w:rsid w:val="00CD77F8"/>
    <w:rsid w:val="00CE599D"/>
    <w:rsid w:val="00CE7DD9"/>
    <w:rsid w:val="00D111CF"/>
    <w:rsid w:val="00D12809"/>
    <w:rsid w:val="00D65BC5"/>
    <w:rsid w:val="00DF7DBC"/>
    <w:rsid w:val="00E345CB"/>
    <w:rsid w:val="00E60011"/>
    <w:rsid w:val="00E6658B"/>
    <w:rsid w:val="00E71F16"/>
    <w:rsid w:val="00E72EA4"/>
    <w:rsid w:val="00E848E3"/>
    <w:rsid w:val="00E95AD7"/>
    <w:rsid w:val="00EA3558"/>
    <w:rsid w:val="00F1280D"/>
    <w:rsid w:val="00F22658"/>
    <w:rsid w:val="00F94884"/>
    <w:rsid w:val="00FE07DD"/>
    <w:rsid w:val="00FF72E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46"/>
  <w15:chartTrackingRefBased/>
  <w15:docId w15:val="{3331C977-9112-7C4D-9A64-B2E4A5A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C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273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9516">
      <w:bodyDiv w:val="1"/>
      <w:marLeft w:val="0"/>
      <w:marRight w:val="0"/>
      <w:marTop w:val="0"/>
      <w:marBottom w:val="0"/>
      <w:divBdr>
        <w:top w:val="none" w:sz="0" w:space="0" w:color="auto"/>
        <w:left w:val="none" w:sz="0" w:space="0" w:color="auto"/>
        <w:bottom w:val="none" w:sz="0" w:space="0" w:color="auto"/>
        <w:right w:val="none" w:sz="0" w:space="0" w:color="auto"/>
      </w:divBdr>
    </w:div>
    <w:div w:id="60974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5495</Words>
  <Characters>31326</Characters>
  <Application>Microsoft Office Word</Application>
  <DocSecurity>0</DocSecurity>
  <Lines>261</Lines>
  <Paragraphs>73</Paragraphs>
  <ScaleCrop>false</ScaleCrop>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Kaslikar</dc:creator>
  <cp:keywords/>
  <dc:description/>
  <cp:lastModifiedBy>Kaushal Kaslikar</cp:lastModifiedBy>
  <cp:revision>79</cp:revision>
  <dcterms:created xsi:type="dcterms:W3CDTF">2022-10-15T10:33:00Z</dcterms:created>
  <dcterms:modified xsi:type="dcterms:W3CDTF">2022-10-15T15:11:00Z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id="HlQ2SYCX"/&gt;&lt;style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