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4118EAA9"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samples</w:t>
      </w:r>
      <w:r w:rsidR="006327B4">
        <w:t xml:space="preserve"> from dataset 2. If the two subtypes are sufficiently different in terms of </w:t>
      </w:r>
      <w:r w:rsidR="006327B4" w:rsidRPr="00D12809">
        <w:t>gene expression profiles and underlying pathological pathways</w:t>
      </w:r>
      <w:r w:rsidR="006327B4">
        <w:t xml:space="preserve">, then </w:t>
      </w:r>
      <w:r w:rsidR="006327B4">
        <w:lastRenderedPageBreak/>
        <w:t>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p>
    <w:p w14:paraId="3813D811" w14:textId="77777777" w:rsidR="00B45554" w:rsidRDefault="00B45554"/>
    <w:p w14:paraId="0E6E95C9" w14:textId="3A366746" w:rsidR="00B45554" w:rsidRDefault="00B45554">
      <w:r w:rsidRPr="00B45554">
        <w:t>There have been several methods proposed to rescue reproducibility from all these forces adversely affecting it. For instance,</w:t>
      </w:r>
      <w:r>
        <w:t xml:space="preserve"> to overcome </w:t>
      </w:r>
      <w:r w:rsidR="00574AFB">
        <w:t xml:space="preserve">the </w:t>
      </w:r>
      <w:r w:rsidR="00CD77F8">
        <w:t>erasure of biological signal due to</w:t>
      </w:r>
      <w:r w:rsidR="00E345CB">
        <w:t xml:space="preserve"> global</w:t>
      </w:r>
      <w:r w:rsidR="00CD77F8">
        <w:t xml:space="preserve"> quantile normalization</w:t>
      </w:r>
      <w:r w:rsidR="00226E01">
        <w:t xml:space="preserve"> in the presence of high class</w:t>
      </w:r>
      <w:r w:rsidR="00DB5AE3">
        <w:t>-effect proportion</w:t>
      </w:r>
      <w:r w:rsidR="00CD77F8">
        <w:t xml:space="preserve">,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r w:rsidR="00226E01">
        <w:t xml:space="preserve"> suggested performing quantile normalization in a class-specific manner</w:t>
      </w:r>
      <w:r w:rsidR="00DB5AE3">
        <w:t xml:space="preserve">, so as to preserve the inter-class differences. </w:t>
      </w:r>
    </w:p>
    <w:p w14:paraId="6EED9A39" w14:textId="77777777" w:rsidR="00D12809" w:rsidRDefault="00D12809"/>
    <w:p w14:paraId="279041AD" w14:textId="1BBA4174" w:rsidR="004B2AC1" w:rsidRDefault="004B2AC1" w:rsidP="004B2AC1">
      <w:pPr>
        <w:pStyle w:val="Heading1"/>
        <w:rPr>
          <w:lang w:val="en-US"/>
        </w:rPr>
      </w:pPr>
      <w:r>
        <w:rPr>
          <w:lang w:val="en-US"/>
        </w:rPr>
        <w:t>Bibliography</w:t>
      </w:r>
    </w:p>
    <w:p w14:paraId="259D465B" w14:textId="77777777" w:rsidR="001F2739" w:rsidRPr="001F2739" w:rsidRDefault="001F2739" w:rsidP="001F2739">
      <w:pPr>
        <w:rPr>
          <w:lang w:val="en-US"/>
        </w:rPr>
      </w:pPr>
    </w:p>
    <w:p w14:paraId="1C349803" w14:textId="77777777" w:rsidR="00EA3558" w:rsidRPr="00EA3558" w:rsidRDefault="001F2739" w:rsidP="00EA3558">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EA3558" w:rsidRPr="00EA3558">
        <w:rPr>
          <w:rFonts w:ascii="Calibri" w:cs="Calibri"/>
          <w:lang w:val="en-GB"/>
        </w:rPr>
        <w:t xml:space="preserve">Dai, X., Li, T., Bai, Z., Yang, Y., Liu, X., Zhan, J., &amp; Shi, B. (2015). Breast cancer intrinsic subtype classification, clinical </w:t>
      </w:r>
      <w:proofErr w:type="gramStart"/>
      <w:r w:rsidR="00EA3558" w:rsidRPr="00EA3558">
        <w:rPr>
          <w:rFonts w:ascii="Calibri" w:cs="Calibri"/>
          <w:lang w:val="en-GB"/>
        </w:rPr>
        <w:t>use</w:t>
      </w:r>
      <w:proofErr w:type="gramEnd"/>
      <w:r w:rsidR="00EA3558" w:rsidRPr="00EA3558">
        <w:rPr>
          <w:rFonts w:ascii="Calibri" w:cs="Calibri"/>
          <w:lang w:val="en-GB"/>
        </w:rPr>
        <w:t xml:space="preserve"> and future trends. </w:t>
      </w:r>
      <w:r w:rsidR="00EA3558" w:rsidRPr="00EA3558">
        <w:rPr>
          <w:rFonts w:ascii="Calibri" w:cs="Calibri"/>
          <w:i/>
          <w:iCs/>
          <w:lang w:val="en-GB"/>
        </w:rPr>
        <w:t>American Journal of Cancer Research</w:t>
      </w:r>
      <w:r w:rsidR="00EA3558" w:rsidRPr="00EA3558">
        <w:rPr>
          <w:rFonts w:ascii="Calibri" w:cs="Calibri"/>
          <w:lang w:val="en-GB"/>
        </w:rPr>
        <w:t xml:space="preserve">, </w:t>
      </w:r>
      <w:r w:rsidR="00EA3558" w:rsidRPr="00EA3558">
        <w:rPr>
          <w:rFonts w:ascii="Calibri" w:cs="Calibri"/>
          <w:i/>
          <w:iCs/>
          <w:lang w:val="en-GB"/>
        </w:rPr>
        <w:t>5</w:t>
      </w:r>
      <w:r w:rsidR="00EA3558" w:rsidRPr="00EA3558">
        <w:rPr>
          <w:rFonts w:ascii="Calibri" w:cs="Calibri"/>
          <w:lang w:val="en-GB"/>
        </w:rPr>
        <w:t>(10), 2929–2943. https://www.ncbi.nlm.nih.gov/pmc/articles/PMC4656721/</w:t>
      </w:r>
    </w:p>
    <w:p w14:paraId="28B87246" w14:textId="77777777" w:rsidR="00EA3558" w:rsidRPr="00EA3558" w:rsidRDefault="00EA3558" w:rsidP="00EA3558">
      <w:pPr>
        <w:pStyle w:val="Bibliography"/>
        <w:rPr>
          <w:rFonts w:ascii="Calibri" w:cs="Calibri"/>
          <w:lang w:val="en-GB"/>
        </w:rPr>
      </w:pPr>
      <w:proofErr w:type="spellStart"/>
      <w:r w:rsidRPr="00EA3558">
        <w:rPr>
          <w:rFonts w:ascii="Calibri" w:cs="Calibri"/>
          <w:lang w:val="en-GB"/>
        </w:rPr>
        <w:t>Draghici</w:t>
      </w:r>
      <w:proofErr w:type="spellEnd"/>
      <w:r w:rsidRPr="00EA3558">
        <w:rPr>
          <w:rFonts w:ascii="Calibri" w:cs="Calibri"/>
          <w:lang w:val="en-GB"/>
        </w:rPr>
        <w:t xml:space="preserve">, S., Khatri, P., Eklund, A. C., &amp; </w:t>
      </w:r>
      <w:proofErr w:type="spellStart"/>
      <w:r w:rsidRPr="00EA3558">
        <w:rPr>
          <w:rFonts w:ascii="Calibri" w:cs="Calibri"/>
          <w:lang w:val="en-GB"/>
        </w:rPr>
        <w:t>Szallasi</w:t>
      </w:r>
      <w:proofErr w:type="spellEnd"/>
      <w:r w:rsidRPr="00EA3558">
        <w:rPr>
          <w:rFonts w:ascii="Calibri" w:cs="Calibri"/>
          <w:lang w:val="en-GB"/>
        </w:rPr>
        <w:t xml:space="preserve">, Z. (2006). Reliability and reproducibility issues in DNA microarray measurements. </w:t>
      </w:r>
      <w:r w:rsidRPr="00EA3558">
        <w:rPr>
          <w:rFonts w:ascii="Calibri" w:cs="Calibri"/>
          <w:i/>
          <w:iCs/>
          <w:lang w:val="en-GB"/>
        </w:rPr>
        <w:t xml:space="preserve">Trends in </w:t>
      </w:r>
      <w:proofErr w:type="gramStart"/>
      <w:r w:rsidRPr="00EA3558">
        <w:rPr>
          <w:rFonts w:ascii="Calibri" w:cs="Calibri"/>
          <w:i/>
          <w:iCs/>
          <w:lang w:val="en-GB"/>
        </w:rPr>
        <w:t>Genetics :</w:t>
      </w:r>
      <w:proofErr w:type="gramEnd"/>
      <w:r w:rsidRPr="00EA3558">
        <w:rPr>
          <w:rFonts w:ascii="Calibri" w:cs="Calibri"/>
          <w:i/>
          <w:iCs/>
          <w:lang w:val="en-GB"/>
        </w:rPr>
        <w:t xml:space="preserve"> TIG</w:t>
      </w:r>
      <w:r w:rsidRPr="00EA3558">
        <w:rPr>
          <w:rFonts w:ascii="Calibri" w:cs="Calibri"/>
          <w:lang w:val="en-GB"/>
        </w:rPr>
        <w:t xml:space="preserve">, </w:t>
      </w:r>
      <w:r w:rsidRPr="00EA3558">
        <w:rPr>
          <w:rFonts w:ascii="Calibri" w:cs="Calibri"/>
          <w:i/>
          <w:iCs/>
          <w:lang w:val="en-GB"/>
        </w:rPr>
        <w:t>22</w:t>
      </w:r>
      <w:r w:rsidRPr="00EA3558">
        <w:rPr>
          <w:rFonts w:ascii="Calibri" w:cs="Calibri"/>
          <w:lang w:val="en-GB"/>
        </w:rPr>
        <w:t>(2), 101–109. https://doi.org/10.1016/j.tig.2005.12.005</w:t>
      </w:r>
    </w:p>
    <w:p w14:paraId="4704B056" w14:textId="77777777" w:rsidR="00EA3558" w:rsidRPr="00EA3558" w:rsidRDefault="00EA3558" w:rsidP="00EA3558">
      <w:pPr>
        <w:pStyle w:val="Bibliography"/>
        <w:rPr>
          <w:rFonts w:ascii="Calibri" w:cs="Calibri"/>
          <w:lang w:val="en-GB"/>
        </w:rPr>
      </w:pPr>
      <w:r w:rsidRPr="00EA3558">
        <w:rPr>
          <w:rFonts w:ascii="Calibri" w:cs="Calibri"/>
          <w:lang w:val="en-GB"/>
        </w:rPr>
        <w:t xml:space="preserve">Goh, W. W. B., Wang, W., &amp; Wong, L. (2017). Why Batch Effects Matter in Omics Data, and How to Avoid Them. </w:t>
      </w:r>
      <w:r w:rsidRPr="00EA3558">
        <w:rPr>
          <w:rFonts w:ascii="Calibri" w:cs="Calibri"/>
          <w:i/>
          <w:iCs/>
          <w:lang w:val="en-GB"/>
        </w:rPr>
        <w:t>Trends in Biotechnology</w:t>
      </w:r>
      <w:r w:rsidRPr="00EA3558">
        <w:rPr>
          <w:rFonts w:ascii="Calibri" w:cs="Calibri"/>
          <w:lang w:val="en-GB"/>
        </w:rPr>
        <w:t xml:space="preserve">, </w:t>
      </w:r>
      <w:r w:rsidRPr="00EA3558">
        <w:rPr>
          <w:rFonts w:ascii="Calibri" w:cs="Calibri"/>
          <w:i/>
          <w:iCs/>
          <w:lang w:val="en-GB"/>
        </w:rPr>
        <w:t>35</w:t>
      </w:r>
      <w:r w:rsidRPr="00EA3558">
        <w:rPr>
          <w:rFonts w:ascii="Calibri" w:cs="Calibri"/>
          <w:lang w:val="en-GB"/>
        </w:rPr>
        <w:t>(6), 498–507. https://doi.org/10.1016/j.tibtech.2017.02.012</w:t>
      </w:r>
    </w:p>
    <w:p w14:paraId="19EDA2F8" w14:textId="77777777" w:rsidR="00EA3558" w:rsidRPr="00EA3558" w:rsidRDefault="00EA3558" w:rsidP="00EA3558">
      <w:pPr>
        <w:pStyle w:val="Bibliography"/>
        <w:rPr>
          <w:rFonts w:ascii="Calibri" w:cs="Calibri"/>
          <w:lang w:val="en-GB"/>
        </w:rPr>
      </w:pPr>
      <w:r w:rsidRPr="00EA3558">
        <w:rPr>
          <w:rFonts w:ascii="Calibri" w:cs="Calibri"/>
          <w:lang w:val="en-GB"/>
        </w:rPr>
        <w:t xml:space="preserve">Huang, S., Murphy, L., &amp; Xu, W. (2018). Genes and functions from breast cancer signatures. </w:t>
      </w:r>
      <w:r w:rsidRPr="00EA3558">
        <w:rPr>
          <w:rFonts w:ascii="Calibri" w:cs="Calibri"/>
          <w:i/>
          <w:iCs/>
          <w:lang w:val="en-GB"/>
        </w:rPr>
        <w:t>BMC Cancer</w:t>
      </w:r>
      <w:r w:rsidRPr="00EA3558">
        <w:rPr>
          <w:rFonts w:ascii="Calibri" w:cs="Calibri"/>
          <w:lang w:val="en-GB"/>
        </w:rPr>
        <w:t xml:space="preserve">, </w:t>
      </w:r>
      <w:r w:rsidRPr="00EA3558">
        <w:rPr>
          <w:rFonts w:ascii="Calibri" w:cs="Calibri"/>
          <w:i/>
          <w:iCs/>
          <w:lang w:val="en-GB"/>
        </w:rPr>
        <w:t>18</w:t>
      </w:r>
      <w:r w:rsidRPr="00EA3558">
        <w:rPr>
          <w:rFonts w:ascii="Calibri" w:cs="Calibri"/>
          <w:lang w:val="en-GB"/>
        </w:rPr>
        <w:t>(1), 473. https://doi.org/10.1186/s12885-018-4388-4</w:t>
      </w:r>
    </w:p>
    <w:p w14:paraId="4C91C1C2" w14:textId="77777777" w:rsidR="00EA3558" w:rsidRPr="00EA3558" w:rsidRDefault="00EA3558" w:rsidP="00EA3558">
      <w:pPr>
        <w:pStyle w:val="Bibliography"/>
        <w:rPr>
          <w:rFonts w:ascii="Calibri" w:cs="Calibri"/>
          <w:lang w:val="en-GB"/>
        </w:rPr>
      </w:pPr>
      <w:r w:rsidRPr="00EA3558">
        <w:rPr>
          <w:rFonts w:ascii="Calibri" w:cs="Calibri"/>
          <w:lang w:val="en-GB"/>
        </w:rPr>
        <w:t xml:space="preserve">Johnson, W. E., Li, C., &amp; </w:t>
      </w:r>
      <w:proofErr w:type="spellStart"/>
      <w:r w:rsidRPr="00EA3558">
        <w:rPr>
          <w:rFonts w:ascii="Calibri" w:cs="Calibri"/>
          <w:lang w:val="en-GB"/>
        </w:rPr>
        <w:t>Rabinovic</w:t>
      </w:r>
      <w:proofErr w:type="spellEnd"/>
      <w:r w:rsidRPr="00EA3558">
        <w:rPr>
          <w:rFonts w:ascii="Calibri" w:cs="Calibri"/>
          <w:lang w:val="en-GB"/>
        </w:rPr>
        <w:t xml:space="preserve">, A. (2007). Adjusting batch effects in microarray expression data using empirical Bayes methods. </w:t>
      </w:r>
      <w:r w:rsidRPr="00EA3558">
        <w:rPr>
          <w:rFonts w:ascii="Calibri" w:cs="Calibri"/>
          <w:i/>
          <w:iCs/>
          <w:lang w:val="en-GB"/>
        </w:rPr>
        <w:t>Biostatistics</w:t>
      </w:r>
      <w:r w:rsidRPr="00EA3558">
        <w:rPr>
          <w:rFonts w:ascii="Calibri" w:cs="Calibri"/>
          <w:lang w:val="en-GB"/>
        </w:rPr>
        <w:t xml:space="preserve">, </w:t>
      </w:r>
      <w:r w:rsidRPr="00EA3558">
        <w:rPr>
          <w:rFonts w:ascii="Calibri" w:cs="Calibri"/>
          <w:i/>
          <w:iCs/>
          <w:lang w:val="en-GB"/>
        </w:rPr>
        <w:t>8</w:t>
      </w:r>
      <w:r w:rsidRPr="00EA3558">
        <w:rPr>
          <w:rFonts w:ascii="Calibri" w:cs="Calibri"/>
          <w:lang w:val="en-GB"/>
        </w:rPr>
        <w:t>(1), 118–127. https://doi.org/10.1093/biostatistics/kxj037</w:t>
      </w:r>
    </w:p>
    <w:p w14:paraId="0EC31C20" w14:textId="77777777" w:rsidR="00EA3558" w:rsidRPr="00EA3558" w:rsidRDefault="00EA3558" w:rsidP="00EA3558">
      <w:pPr>
        <w:pStyle w:val="Bibliography"/>
        <w:rPr>
          <w:rFonts w:ascii="Calibri" w:cs="Calibri"/>
          <w:lang w:val="en-GB"/>
        </w:rPr>
      </w:pPr>
      <w:r w:rsidRPr="00EA3558">
        <w:rPr>
          <w:rFonts w:ascii="Calibri" w:cs="Calibri"/>
          <w:lang w:val="en-GB"/>
        </w:rPr>
        <w:t xml:space="preserve">Kim, C. S., Hwang, S., &amp; Zhang, S.-D. (2014). RMA with quantile normalization mixes biological signals between different sample groups in microarray data analysis. </w:t>
      </w:r>
      <w:r w:rsidRPr="00EA3558">
        <w:rPr>
          <w:rFonts w:ascii="Calibri" w:cs="Calibri"/>
          <w:i/>
          <w:iCs/>
          <w:lang w:val="en-GB"/>
        </w:rPr>
        <w:t>2014 IEEE International Conference on Bioinformatics and Biomedicine (BIBM)</w:t>
      </w:r>
      <w:r w:rsidRPr="00EA3558">
        <w:rPr>
          <w:rFonts w:ascii="Calibri" w:cs="Calibri"/>
          <w:lang w:val="en-GB"/>
        </w:rPr>
        <w:t>, 139–143. https://doi.org/10.1109/BIBM.2014.6999142</w:t>
      </w:r>
    </w:p>
    <w:p w14:paraId="6E1AB9A2" w14:textId="77777777" w:rsidR="00EA3558" w:rsidRPr="00EA3558" w:rsidRDefault="00EA3558" w:rsidP="00EA3558">
      <w:pPr>
        <w:pStyle w:val="Bibliography"/>
        <w:rPr>
          <w:rFonts w:ascii="Calibri" w:cs="Calibri"/>
          <w:lang w:val="en-GB"/>
        </w:rPr>
      </w:pPr>
      <w:r w:rsidRPr="00EA3558">
        <w:rPr>
          <w:rFonts w:ascii="Calibri" w:cs="Calibri"/>
          <w:lang w:val="en-GB"/>
        </w:rPr>
        <w:lastRenderedPageBreak/>
        <w:t xml:space="preserve">Leek, J. T., &amp; Storey, J. D. (2007). Capturing Heterogeneity in Gene Expression Studies by Surrogate Variable Analysis. </w:t>
      </w:r>
      <w:proofErr w:type="spellStart"/>
      <w:r w:rsidRPr="00EA3558">
        <w:rPr>
          <w:rFonts w:ascii="Calibri" w:cs="Calibri"/>
          <w:i/>
          <w:iCs/>
          <w:lang w:val="en-GB"/>
        </w:rPr>
        <w:t>PLoS</w:t>
      </w:r>
      <w:proofErr w:type="spellEnd"/>
      <w:r w:rsidRPr="00EA3558">
        <w:rPr>
          <w:rFonts w:ascii="Calibri" w:cs="Calibri"/>
          <w:i/>
          <w:iCs/>
          <w:lang w:val="en-GB"/>
        </w:rPr>
        <w:t xml:space="preserve"> Genetics</w:t>
      </w:r>
      <w:r w:rsidRPr="00EA3558">
        <w:rPr>
          <w:rFonts w:ascii="Calibri" w:cs="Calibri"/>
          <w:lang w:val="en-GB"/>
        </w:rPr>
        <w:t xml:space="preserve">, </w:t>
      </w:r>
      <w:r w:rsidRPr="00EA3558">
        <w:rPr>
          <w:rFonts w:ascii="Calibri" w:cs="Calibri"/>
          <w:i/>
          <w:iCs/>
          <w:lang w:val="en-GB"/>
        </w:rPr>
        <w:t>3</w:t>
      </w:r>
      <w:r w:rsidRPr="00EA3558">
        <w:rPr>
          <w:rFonts w:ascii="Calibri" w:cs="Calibri"/>
          <w:lang w:val="en-GB"/>
        </w:rPr>
        <w:t>(9), e161. https://doi.org/10.1371/journal.pgen.0030161</w:t>
      </w:r>
    </w:p>
    <w:p w14:paraId="12507D08" w14:textId="77777777" w:rsidR="00EA3558" w:rsidRPr="00EA3558" w:rsidRDefault="00EA3558" w:rsidP="00EA3558">
      <w:pPr>
        <w:pStyle w:val="Bibliography"/>
        <w:rPr>
          <w:rFonts w:ascii="Calibri" w:cs="Calibri"/>
          <w:lang w:val="en-GB"/>
        </w:rPr>
      </w:pPr>
      <w:r w:rsidRPr="00EA3558">
        <w:rPr>
          <w:rFonts w:ascii="Calibri" w:cs="Calibri"/>
          <w:lang w:val="en-GB"/>
        </w:rPr>
        <w:t xml:space="preserve">Shi, L., Jones, W. D., Jensen, R. V., Harris, S. C., Perkins, R. G., </w:t>
      </w:r>
      <w:proofErr w:type="spellStart"/>
      <w:r w:rsidRPr="00EA3558">
        <w:rPr>
          <w:rFonts w:ascii="Calibri" w:cs="Calibri"/>
          <w:lang w:val="en-GB"/>
        </w:rPr>
        <w:t>Goodsaid</w:t>
      </w:r>
      <w:proofErr w:type="spellEnd"/>
      <w:r w:rsidRPr="00EA3558">
        <w:rPr>
          <w:rFonts w:ascii="Calibri" w:cs="Calibri"/>
          <w:lang w:val="en-GB"/>
        </w:rPr>
        <w:t xml:space="preserve">, F. M., Guo, L., Croner, L. J., Boysen, C., Fang, H., Qian, F., Amur, S., Bao, W., </w:t>
      </w:r>
      <w:proofErr w:type="spellStart"/>
      <w:r w:rsidRPr="00EA3558">
        <w:rPr>
          <w:rFonts w:ascii="Calibri" w:cs="Calibri"/>
          <w:lang w:val="en-GB"/>
        </w:rPr>
        <w:t>Barbacioru</w:t>
      </w:r>
      <w:proofErr w:type="spellEnd"/>
      <w:r w:rsidRPr="00EA3558">
        <w:rPr>
          <w:rFonts w:ascii="Calibri" w:cs="Calibri"/>
          <w:lang w:val="en-GB"/>
        </w:rPr>
        <w:t xml:space="preserve">, C. C., </w:t>
      </w:r>
      <w:proofErr w:type="spellStart"/>
      <w:r w:rsidRPr="00EA3558">
        <w:rPr>
          <w:rFonts w:ascii="Calibri" w:cs="Calibri"/>
          <w:lang w:val="en-GB"/>
        </w:rPr>
        <w:t>Bertholet</w:t>
      </w:r>
      <w:proofErr w:type="spellEnd"/>
      <w:r w:rsidRPr="00EA3558">
        <w:rPr>
          <w:rFonts w:ascii="Calibri" w:cs="Calibri"/>
          <w:lang w:val="en-GB"/>
        </w:rPr>
        <w:t xml:space="preserve">, V., Cao, X. M., Chu, T.-M., Collins, P. J., Fan, X., … Tong, W. (2008). The balance of reproducibility, sensitivity, and specificity of lists of differentially expressed genes in microarray studies. </w:t>
      </w:r>
      <w:r w:rsidRPr="00EA3558">
        <w:rPr>
          <w:rFonts w:ascii="Calibri" w:cs="Calibri"/>
          <w:i/>
          <w:iCs/>
          <w:lang w:val="en-GB"/>
        </w:rPr>
        <w:t>BMC Bioinformatics</w:t>
      </w:r>
      <w:r w:rsidRPr="00EA3558">
        <w:rPr>
          <w:rFonts w:ascii="Calibri" w:cs="Calibri"/>
          <w:lang w:val="en-GB"/>
        </w:rPr>
        <w:t xml:space="preserve">, </w:t>
      </w:r>
      <w:r w:rsidRPr="00EA3558">
        <w:rPr>
          <w:rFonts w:ascii="Calibri" w:cs="Calibri"/>
          <w:i/>
          <w:iCs/>
          <w:lang w:val="en-GB"/>
        </w:rPr>
        <w:t>9</w:t>
      </w:r>
      <w:r w:rsidRPr="00EA3558">
        <w:rPr>
          <w:rFonts w:ascii="Calibri" w:cs="Calibri"/>
          <w:lang w:val="en-GB"/>
        </w:rPr>
        <w:t>(</w:t>
      </w:r>
      <w:proofErr w:type="spellStart"/>
      <w:r w:rsidRPr="00EA3558">
        <w:rPr>
          <w:rFonts w:ascii="Calibri" w:cs="Calibri"/>
          <w:lang w:val="en-GB"/>
        </w:rPr>
        <w:t>Suppl</w:t>
      </w:r>
      <w:proofErr w:type="spellEnd"/>
      <w:r w:rsidRPr="00EA3558">
        <w:rPr>
          <w:rFonts w:ascii="Calibri" w:cs="Calibri"/>
          <w:lang w:val="en-GB"/>
        </w:rPr>
        <w:t xml:space="preserve"> 9), S10. https://doi.org/10.1186/1471-2105-9-S9-S10</w:t>
      </w:r>
    </w:p>
    <w:p w14:paraId="34D95514" w14:textId="77777777" w:rsidR="00EA3558" w:rsidRPr="00EA3558" w:rsidRDefault="00EA3558" w:rsidP="00EA3558">
      <w:pPr>
        <w:pStyle w:val="Bibliography"/>
        <w:rPr>
          <w:rFonts w:ascii="Calibri" w:cs="Calibri"/>
          <w:lang w:val="en-GB"/>
        </w:rPr>
      </w:pPr>
      <w:r w:rsidRPr="00EA3558">
        <w:rPr>
          <w:rFonts w:ascii="Calibri" w:cs="Calibri"/>
          <w:lang w:val="en-GB"/>
        </w:rPr>
        <w:t xml:space="preserve">Sweeney, T. E., Haynes, W. A., </w:t>
      </w:r>
      <w:proofErr w:type="spellStart"/>
      <w:r w:rsidRPr="00EA3558">
        <w:rPr>
          <w:rFonts w:ascii="Calibri" w:cs="Calibri"/>
          <w:lang w:val="en-GB"/>
        </w:rPr>
        <w:t>Vallania</w:t>
      </w:r>
      <w:proofErr w:type="spellEnd"/>
      <w:r w:rsidRPr="00EA3558">
        <w:rPr>
          <w:rFonts w:ascii="Calibri" w:cs="Calibri"/>
          <w:lang w:val="en-GB"/>
        </w:rPr>
        <w:t xml:space="preserve">, F., Ioannidis, J. P., &amp; Khatri, P. (2017). Methods to increase reproducibility in differential gene expression via meta-analysis. </w:t>
      </w:r>
      <w:r w:rsidRPr="00EA3558">
        <w:rPr>
          <w:rFonts w:ascii="Calibri" w:cs="Calibri"/>
          <w:i/>
          <w:iCs/>
          <w:lang w:val="en-GB"/>
        </w:rPr>
        <w:t>Nucleic Acids Research</w:t>
      </w:r>
      <w:r w:rsidRPr="00EA3558">
        <w:rPr>
          <w:rFonts w:ascii="Calibri" w:cs="Calibri"/>
          <w:lang w:val="en-GB"/>
        </w:rPr>
        <w:t xml:space="preserve">, </w:t>
      </w:r>
      <w:r w:rsidRPr="00EA3558">
        <w:rPr>
          <w:rFonts w:ascii="Calibri" w:cs="Calibri"/>
          <w:i/>
          <w:iCs/>
          <w:lang w:val="en-GB"/>
        </w:rPr>
        <w:t>45</w:t>
      </w:r>
      <w:r w:rsidRPr="00EA3558">
        <w:rPr>
          <w:rFonts w:ascii="Calibri" w:cs="Calibri"/>
          <w:lang w:val="en-GB"/>
        </w:rPr>
        <w:t>(1), e1. https://doi.org/10.1093/nar/gkw797</w:t>
      </w:r>
    </w:p>
    <w:p w14:paraId="10A1AA73" w14:textId="77777777" w:rsidR="00EA3558" w:rsidRPr="00EA3558" w:rsidRDefault="00EA3558" w:rsidP="00EA3558">
      <w:pPr>
        <w:pStyle w:val="Bibliography"/>
        <w:rPr>
          <w:rFonts w:ascii="Calibri" w:cs="Calibri"/>
          <w:lang w:val="en-GB"/>
        </w:rPr>
      </w:pPr>
      <w:r w:rsidRPr="00EA3558">
        <w:rPr>
          <w:rFonts w:ascii="Calibri" w:cs="Calibri"/>
          <w:lang w:val="en-GB"/>
        </w:rPr>
        <w:t xml:space="preserve">Zhao, Y., Wong, L., &amp; Goh, W. W. B. (2020). How to do quantile normalization correctly for gene expression data analyses. </w:t>
      </w:r>
      <w:r w:rsidRPr="00EA3558">
        <w:rPr>
          <w:rFonts w:ascii="Calibri" w:cs="Calibri"/>
          <w:i/>
          <w:iCs/>
          <w:lang w:val="en-GB"/>
        </w:rPr>
        <w:t>Scientific Reports</w:t>
      </w:r>
      <w:r w:rsidRPr="00EA3558">
        <w:rPr>
          <w:rFonts w:ascii="Calibri" w:cs="Calibri"/>
          <w:lang w:val="en-GB"/>
        </w:rPr>
        <w:t xml:space="preserve">, </w:t>
      </w:r>
      <w:r w:rsidRPr="00EA3558">
        <w:rPr>
          <w:rFonts w:ascii="Calibri" w:cs="Calibri"/>
          <w:i/>
          <w:iCs/>
          <w:lang w:val="en-GB"/>
        </w:rPr>
        <w:t>10</w:t>
      </w:r>
      <w:r w:rsidRPr="00EA3558">
        <w:rPr>
          <w:rFonts w:ascii="Calibri" w:cs="Calibri"/>
          <w:lang w:val="en-GB"/>
        </w:rPr>
        <w:t>(1), Article 1. https://doi.org/10.1038/s41598-020-72664-6</w:t>
      </w:r>
    </w:p>
    <w:p w14:paraId="6E4D8D9F" w14:textId="4AC0DA1B" w:rsidR="004B2AC1" w:rsidRDefault="001F2739"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51454"/>
    <w:rsid w:val="000A06C7"/>
    <w:rsid w:val="000D5B4C"/>
    <w:rsid w:val="00122AEF"/>
    <w:rsid w:val="00151F7B"/>
    <w:rsid w:val="001839F2"/>
    <w:rsid w:val="00185DC7"/>
    <w:rsid w:val="001B4128"/>
    <w:rsid w:val="001C779B"/>
    <w:rsid w:val="001E1372"/>
    <w:rsid w:val="001F2739"/>
    <w:rsid w:val="00203D61"/>
    <w:rsid w:val="00226E01"/>
    <w:rsid w:val="002C087C"/>
    <w:rsid w:val="00337766"/>
    <w:rsid w:val="00395D02"/>
    <w:rsid w:val="003B196F"/>
    <w:rsid w:val="003B69AF"/>
    <w:rsid w:val="003D3904"/>
    <w:rsid w:val="004B2AC1"/>
    <w:rsid w:val="004F5734"/>
    <w:rsid w:val="004F6149"/>
    <w:rsid w:val="00545E9F"/>
    <w:rsid w:val="00567E3F"/>
    <w:rsid w:val="00574AFB"/>
    <w:rsid w:val="005C5E89"/>
    <w:rsid w:val="005D0F6E"/>
    <w:rsid w:val="005E7B6D"/>
    <w:rsid w:val="0060799D"/>
    <w:rsid w:val="006327B4"/>
    <w:rsid w:val="00640C2D"/>
    <w:rsid w:val="006435F1"/>
    <w:rsid w:val="006A5508"/>
    <w:rsid w:val="007002DE"/>
    <w:rsid w:val="00703184"/>
    <w:rsid w:val="00712368"/>
    <w:rsid w:val="00724E8F"/>
    <w:rsid w:val="007E0D06"/>
    <w:rsid w:val="008265FA"/>
    <w:rsid w:val="008409AB"/>
    <w:rsid w:val="00857231"/>
    <w:rsid w:val="008A4F97"/>
    <w:rsid w:val="00900529"/>
    <w:rsid w:val="009309A3"/>
    <w:rsid w:val="0094095D"/>
    <w:rsid w:val="00940FEA"/>
    <w:rsid w:val="009453CF"/>
    <w:rsid w:val="009B2833"/>
    <w:rsid w:val="00A76005"/>
    <w:rsid w:val="00A86F54"/>
    <w:rsid w:val="00AA055C"/>
    <w:rsid w:val="00AA2E86"/>
    <w:rsid w:val="00AF2F7C"/>
    <w:rsid w:val="00B032C1"/>
    <w:rsid w:val="00B45554"/>
    <w:rsid w:val="00B52503"/>
    <w:rsid w:val="00B75487"/>
    <w:rsid w:val="00B8040F"/>
    <w:rsid w:val="00BE13A8"/>
    <w:rsid w:val="00C15C85"/>
    <w:rsid w:val="00C75FC4"/>
    <w:rsid w:val="00C9137D"/>
    <w:rsid w:val="00CD77F8"/>
    <w:rsid w:val="00CE599D"/>
    <w:rsid w:val="00CE7DD9"/>
    <w:rsid w:val="00D111CF"/>
    <w:rsid w:val="00D12809"/>
    <w:rsid w:val="00D65BC5"/>
    <w:rsid w:val="00DB5AE3"/>
    <w:rsid w:val="00DF7DBC"/>
    <w:rsid w:val="00E345CB"/>
    <w:rsid w:val="00E60011"/>
    <w:rsid w:val="00E6658B"/>
    <w:rsid w:val="00E71F16"/>
    <w:rsid w:val="00E72EA4"/>
    <w:rsid w:val="00E848E3"/>
    <w:rsid w:val="00E95AD7"/>
    <w:rsid w:val="00EA3558"/>
    <w:rsid w:val="00F1280D"/>
    <w:rsid w:val="00F22658"/>
    <w:rsid w:val="00F94884"/>
    <w:rsid w:val="00FE07DD"/>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5519</Words>
  <Characters>31459</Characters>
  <Application>Microsoft Office Word</Application>
  <DocSecurity>0</DocSecurity>
  <Lines>262</Lines>
  <Paragraphs>73</Paragraphs>
  <ScaleCrop>false</ScaleCrop>
  <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81</cp:revision>
  <dcterms:created xsi:type="dcterms:W3CDTF">2022-10-15T10:33:00Z</dcterms:created>
  <dcterms:modified xsi:type="dcterms:W3CDTF">2022-10-15T15:13:00Z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id="HlQ2SYCX"/&gt;&lt;style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