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 w:val="0"/>
          <w:sz w:val="24"/>
        </w:rPr>
        <w:t>产品名称：XCT80L7 型汽车起重机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项目名称：80t 汽车起重机臂架优化项目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项目编号：XG-ZX-2026-042</w:t>
      </w:r>
    </w:p>
    <w:p/>
    <w:p>
      <w:pPr>
        <w:jc w:val="center"/>
      </w:pPr>
      <w:r>
        <w:rPr>
          <w:rFonts w:ascii="黑体" w:hAnsi="黑体" w:eastAsia="黑体"/>
          <w:b/>
          <w:sz w:val="32"/>
        </w:rPr>
        <w:t>产品营销策略报告</w:t>
      </w:r>
    </w:p>
    <w:p/>
    <w:p>
      <w:pPr>
        <w:spacing w:line="240" w:lineRule="auto" w:before="160" w:after="160"/>
      </w:pPr>
      <w:r>
        <w:rPr>
          <w:rFonts w:ascii="黑体" w:hAnsi="黑体" w:eastAsia="黑体"/>
          <w:b w:val="0"/>
          <w:sz w:val="24"/>
        </w:rPr>
        <w:t>市场定位</w:t>
      </w:r>
    </w:p>
    <w:p>
      <w:pPr>
        <w:spacing w:line="360" w:lineRule="auto"/>
        <w:ind w:firstLineChars="200"/>
        <w:jc w:val="both"/>
      </w:pPr>
      <w:r>
        <w:rPr>
          <w:rFonts w:ascii="宋体" w:hAnsi="宋体" w:eastAsia="宋体"/>
          <w:b w:val="0"/>
          <w:sz w:val="24"/>
        </w:rPr>
        <w:t>XCT80L7 定位于国内 80t 级汽车起重机主吊市场，该市场年需求约 850 台，核心工况为桥梁架设、厂房吊装与风电安装检修，产品定位见表 1。产品面向国内主流吊装公司与塔机租赁商两大核心客群，兼顾风电安装企业的检修需求。针对三一 STC800、中联 ZTC800V、徐工 XCT80L6 三款竞品配置同质化的问题，本项目以主臂全伸 58m 的大臂长、整机自重不超过 43t 的轻量化设计以及高性价比为核心差异点，目标终端售价 196 万元（含税）位于竞品 188—198 万元价格区间的中位偏上，以性能换取品牌溢价。从图 1 的定位矩阵可见，新产品在价格接近的情况下将目标市场占有率设定为 30%，高于三款竞品（三一 28%、中联 24%、徐工 22%），以此确立工程起重主力机型的品牌定位。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表 1 产品定位表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目标市场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国内 80t 级主吊市场，年需求约 850 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以桥梁架设、厂房吊装、风电安装检修为核心工况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目标客户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国内主流吊装公司、塔机租赁商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兼顾风电安装企业，覆盖主吊与租赁两大核心客群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差异化定位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大臂长（主臂全伸 58m）+ 轻量化（整机自重≤43t）+ 高性价比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对标三一 STC800、中联 ZTC800V、徐工 XCT80L6 形成差异化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品牌定位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工程起重主力机型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目标终端售价 196 万元（含税）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121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itioning_scat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12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黑体" w:hAnsi="黑体" w:eastAsia="黑体"/>
          <w:b w:val="0"/>
          <w:sz w:val="21"/>
        </w:rPr>
        <w:t>图 1 产品研发定位矩阵</w:t>
      </w:r>
    </w:p>
    <w:p>
      <w:pPr>
        <w:spacing w:line="240" w:lineRule="auto" w:before="160" w:after="160"/>
      </w:pPr>
      <w:r>
        <w:rPr>
          <w:rFonts w:ascii="黑体" w:hAnsi="黑体" w:eastAsia="黑体"/>
          <w:b w:val="0"/>
          <w:sz w:val="24"/>
        </w:rPr>
        <w:t>产品销售策略及早期销售计划</w:t>
      </w:r>
    </w:p>
    <w:p>
      <w:pPr>
        <w:spacing w:line="360" w:lineRule="auto"/>
        <w:ind w:firstLineChars="200"/>
        <w:jc w:val="both"/>
      </w:pPr>
      <w:r>
        <w:rPr>
          <w:rFonts w:ascii="宋体" w:hAnsi="宋体" w:eastAsia="宋体"/>
          <w:b w:val="0"/>
          <w:sz w:val="24"/>
        </w:rPr>
        <w:t>XCT80L7 采用直销、经销、租赁合作与出口相结合的复合销售模式，按区域与细分行业编制早期销售计划，2027 年（SOP 当年）目标销量 120 台，区域分解为华东 40 台、华北 24 台、华南 18 台、西南 12 台、海外 8 台、其他 18 台，区域销量结构预测见图 2。华东与华北为核心市场，合计 64 台、占目标销量 53.3%，依托驻点销售团队与重点经销商铺样车，并于 SOP 前备货 10 台、8 台，确保 2027-10 量产放行后即刻交付；华南、西南价格敏感度较高，采取按订单滚动交付方式控制库存，重点以高性价比与租赁合作切入。海外市场依托集团出口渠道布点东南亚、中东，2027 年目标 8 台并按 4 台备货支撑出口首单；其他区域结合以旧换新与售后转介绍补齐空白。整体销售节奏与项目里程碑衔接，试制（2027-06）阶段完成样机巡展与首批客户试用，为 SOP（2027-10）后的批量交付蓄客，早期销售计划明细见表 2。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表 2 产品销售策略及早期销售计划表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目标区域、市场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销售渠道、细分行业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目标客户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订单类别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目标销量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是否提前备货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提前备货数量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预计交付时间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销售策略及资源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辐射区域、客户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华东（江苏、山东、浙江、上海）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直销为主＋重点经销商；厂房吊装、桥梁架设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大型吊装公司、石化施工企业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整机销售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40 台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10 台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2027-10（SOP 后首批）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区域销售团队驻点，2 家重点经销商铺样车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长三角及周边，重点维护存量客户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首年核心市场，占目标销量 33.3%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华北（京津冀、山西）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经销为主；风电安装、桥梁施工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风电安装企业、基建总包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整机销售＋租赁合作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24 台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8 台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2027-10（SOP 后首批）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结合风电检修工况推广 58m 大臂长卖点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京津冀风电项目集群及周边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依托大臂长优势切入风电检修细分，占 20%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华南（广东、广西、福建）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经销＋展会；市政吊装、港口码头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市政建设公司、港口装卸单位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整机销售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18 台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按订单滚动交付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参加区域展会，主推高性价比定价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珠三角市政与港口用户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价格敏感度较高，以性价比为卖点，占 15%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西南（四川、云南、重庆）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经销商＋直销；基础工程、基建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基建总包、租赁公司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租赁＋整机销售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 台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按订单滚动交付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与区域租赁商合作拓展市场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川渝及西南基建市场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关注二手残值与全生命周期成本，占 10%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海外（东南亚、中东）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出口经销商；基建、港口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海外总包、出口客户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整机出口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8 台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 台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2027-11（出口首单）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依托集团海外渠道布点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东南亚、中东在建项目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出口认证与本地化服务同步推进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其他（华中、东北等）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经销商＋售后网络；通用吊装、抢险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全区域存量与增量用户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整机销售＋以旧换新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18 台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否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按订单滚动交付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结合以旧换新与售后转介绍拓展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覆盖华中、东北及分散市场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补齐区域空白，占 15%</w:t>
            </w:r>
          </w:p>
        </w:tc>
      </w:tr>
    </w:tbl>
    <w:p>
      <w:pPr>
        <w:spacing w:line="240" w:lineRule="auto" w:before="160" w:after="160"/>
      </w:pPr>
      <w:r>
        <w:rPr>
          <w:rFonts w:ascii="黑体" w:hAnsi="黑体" w:eastAsia="黑体"/>
          <w:b w:val="0"/>
          <w:sz w:val="24"/>
        </w:rPr>
        <w:t>价格管理策略</w:t>
      </w:r>
    </w:p>
    <w:p>
      <w:pPr>
        <w:spacing w:line="360" w:lineRule="auto"/>
        <w:ind w:firstLineChars="200"/>
        <w:jc w:val="both"/>
      </w:pPr>
      <w:r>
        <w:rPr>
          <w:rFonts w:ascii="宋体" w:hAnsi="宋体" w:eastAsia="宋体"/>
          <w:b w:val="0"/>
          <w:sz w:val="24"/>
        </w:rPr>
        <w:t>价格管理以出厂价 165 万元（基准）、终端售价 196 万元（含税、基准）为核心，出厂价上、下限分别设定为 170 万元与 160 万元，终端售价上、下限分别设定为 200 万元与 190 万元；常规区域在基准价上下浮动 1—2 万元，对价格敏感市场（华南、西南）终端售价下探至 190 万元，具体见表 3。华东、华北等重点市场终端价格以 196—200 万元为主并维持出厂价 165—170 万元，维护品牌溢价；华南、西南等价格敏感市场终端价可下探至 190 万元，贴近中联 ZTC800V（192 万元）的定价水平，以价换量；海外市场因含出口认证与海运费用，终端价上浮至 195—200 万元。出厂价与终端售价联动管控，价差 31 万元覆盖渠道费用、返利与增值税，同时防范跨区域窜货与低价竞争，保障价格体系的稳定运行。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表 3 产品价格管理策略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目标区域、市场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销售渠道、细分行业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目标客户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目标销量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出厂价上限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出厂价下限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终端售价上限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终端售价下限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华东（江苏、山东、浙江、上海）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直销＋重点经销商；厂房吊装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大型吊装公司、石化施工企业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40 台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170 万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165 万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200 万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196 万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重点市场执行基准价位，维护品牌溢价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华北（京津冀、山西）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经销为主；风电安装、桥梁施工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风电安装企业、基建总包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24 台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170 万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165 万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199 万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195 万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风电客户走量，终端价让利 1 万元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华南（广东、广西、福建）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经销＋展会；市政吊装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市政建设公司、港口装卸单位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18 台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168 万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160 万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197 万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190 万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价格敏感市场，终端价可下探至 190 万元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西南（四川、云南、重庆）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经销商＋直销；基础工程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基建总包、租赁公司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 台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168 万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160 万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197 万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190 万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以价换量，贴近中联 ZTC800V（192 万元）定价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海外（东南亚、中东）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出口经销商；基建、港口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海外总包、出口客户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8 台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170 万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165 万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200 万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195 万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含出口认证与海运费用，终端价上浮 1 万元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其他（华中、东北等）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经销商＋售后网络；通用吊装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全区域存量与增量用户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18 台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168 万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162 万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198 万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192 万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参考徐工 XCT80L6（198 万元）终端区间</w:t>
            </w:r>
          </w:p>
        </w:tc>
      </w:tr>
    </w:tbl>
    <w:p>
      <w:pPr>
        <w:spacing w:line="240" w:lineRule="auto" w:before="160" w:after="160"/>
      </w:pPr>
      <w:r>
        <w:rPr>
          <w:rFonts w:ascii="黑体" w:hAnsi="黑体" w:eastAsia="黑体"/>
          <w:b w:val="0"/>
          <w:sz w:val="24"/>
        </w:rPr>
        <w:t>风险及预防措施</w:t>
      </w:r>
    </w:p>
    <w:p>
      <w:pPr>
        <w:spacing w:line="360" w:lineRule="auto"/>
        <w:ind w:firstLineChars="200"/>
        <w:jc w:val="both"/>
      </w:pPr>
      <w:r>
        <w:rPr>
          <w:rFonts w:ascii="宋体" w:hAnsi="宋体" w:eastAsia="宋体"/>
          <w:b w:val="0"/>
          <w:sz w:val="24"/>
        </w:rPr>
        <w:t>针对产品上市初期的营销风险，营销部会同制造、采购、财务、技术及售后服务等部门制定预防措施并明确责任分工，明细见表 4。竞品降价风险等级最高，三一 STC800、中联 ZTC800V、徐工 XCT80L6 价格竞争激烈，应对策略为依托主臂 58m 大臂长与轻量化差异锁定客户，必要时以出厂价下限 160 万元给予区域让利，预计 2027-12 前完成价格体系与竞对监控机制建设。交付延误风险主要来自卷扬减速机等关键件供货周期与量产爬坡，通过提前备货、大客户订单预排产及试制阶段验证化解，预计 2027-06 试制节点前闭环。市场接受度风险通过首批用户试用、样机巡展与风电检修工况实测数据宣传来化解，力争 2027 年 120 台目标销量如期达成；同时严格执行分区域价格审批，防范价格体系混乱与窜货。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表 4 产品营销风险及预防措施明细表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问题及风险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问题及风险等级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应对策略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主责人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相关部门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预计解决日期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实际解决时间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竞品降价冲击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跟踪三一 STC800、中联 ZTC800V、徐工 XCT80L6 价格动态，依托大臂长＋轻量化差异锁定客户，必要时以出厂价下限 160 万元给予区域让利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营销部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营销部、财务部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2027-12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交付延误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提前备货与大客户订单预排产，锁定卷扬减速机等关键件供货周期，SOP 前完成试制验证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制造部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采购部、制造部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2027-06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市场接受度不足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首批用户试用与样机巡展，建立标杆案例，结合风电检修工况实测数据宣传 58m 大臂长价值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营销部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技术部、售后服务部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2027-12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价格体系混乱、窜货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严格分区域价格审批与备案，防范低价竞争与跨区窜货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营销部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商务部、财务部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2027-11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2563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on_p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256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黑体" w:hAnsi="黑体" w:eastAsia="黑体"/>
          <w:b w:val="0"/>
          <w:sz w:val="21"/>
        </w:rPr>
        <w:t>图 2 区域销量结构预测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