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24"/>
        </w:rPr>
        <w:t>产品名称：XCT80L7 型汽车起重机</w:t>
      </w:r>
    </w:p>
    <w:p>
      <w:pPr>
        <w:jc w:val="center"/>
      </w:pPr>
      <w:r>
        <w:rPr>
          <w:rFonts w:ascii="宋体" w:hAnsi="宋体" w:eastAsia="宋体"/>
          <w:b w:val="0"/>
          <w:sz w:val="24"/>
        </w:rPr>
        <w:t>项目名称：80t 汽车起重机臂架优化项目</w:t>
      </w:r>
    </w:p>
    <w:p>
      <w:pPr>
        <w:jc w:val="center"/>
      </w:pPr>
      <w:r>
        <w:rPr>
          <w:rFonts w:ascii="宋体" w:hAnsi="宋体" w:eastAsia="宋体"/>
          <w:b w:val="0"/>
          <w:sz w:val="24"/>
        </w:rPr>
        <w:t>项目编号：XG-ZX-2026-042</w:t>
      </w:r>
    </w:p>
    <w:p/>
    <w:p>
      <w:pPr>
        <w:jc w:val="center"/>
      </w:pPr>
      <w:r>
        <w:rPr>
          <w:rFonts w:ascii="黑体" w:hAnsi="黑体" w:eastAsia="黑体"/>
          <w:b/>
          <w:sz w:val="32"/>
        </w:rPr>
        <w:t>产品质量目标</w:t>
      </w:r>
    </w:p>
    <w:p/>
    <w:p>
      <w:pPr>
        <w:spacing w:line="240" w:lineRule="auto" w:before="160" w:after="160"/>
      </w:pPr>
      <w:r>
        <w:rPr>
          <w:rFonts w:ascii="黑体" w:hAnsi="黑体" w:eastAsia="黑体"/>
          <w:b w:val="0"/>
          <w:sz w:val="24"/>
        </w:rPr>
        <w:t>公司质量目标要求</w:t>
      </w:r>
    </w:p>
    <w:p>
      <w:pPr>
        <w:spacing w:line="360" w:lineRule="auto"/>
        <w:ind w:firstLineChars="200"/>
        <w:jc w:val="both"/>
      </w:pPr>
      <w:r>
        <w:rPr>
          <w:rFonts w:ascii="宋体" w:hAnsi="宋体" w:eastAsia="宋体"/>
          <w:b w:val="0"/>
          <w:sz w:val="24"/>
        </w:rPr>
        <w:t>公司始终坚持“一次做对、零缺陷”的质量导向，将产品可靠性作为市场竞争力与用户口碑的基础。针对 80t 级汽车起重机市场，公司质量管理体系要求新产品在设计与制造全过程落实质量预防与过程控制，对可靠性指标实行目标化管理。参照三一 STC800、中联 ZTC800V、徐工 XCT80L6 等竞品的存量质量水平，公司要求 XCT80L7 型汽车起重机以臂架焊缝质量与整机可靠性为管控重点，在方案设计阶段即明确可量化的质量目标，并在试制、量产与售后阶段通过检验与统计验证目标达成情况。</w:t>
      </w:r>
    </w:p>
    <w:p>
      <w:pPr>
        <w:spacing w:line="240" w:lineRule="auto" w:before="160" w:after="160"/>
      </w:pPr>
      <w:r>
        <w:rPr>
          <w:rFonts w:ascii="黑体" w:hAnsi="黑体" w:eastAsia="黑体"/>
          <w:b w:val="0"/>
          <w:sz w:val="24"/>
        </w:rPr>
        <w:t>新产品质量目标设定</w:t>
      </w:r>
    </w:p>
    <w:p>
      <w:pPr>
        <w:spacing w:line="360" w:lineRule="auto"/>
        <w:ind w:firstLineChars="200"/>
        <w:jc w:val="both"/>
      </w:pPr>
      <w:r>
        <w:rPr>
          <w:rFonts w:ascii="宋体" w:hAnsi="宋体" w:eastAsia="宋体"/>
          <w:b w:val="0"/>
          <w:sz w:val="24"/>
        </w:rPr>
        <w:t>依据公司“一次做对、零缺陷”的质量方针和产品可靠性要求，本项目在方案设计阶段为 XCT80L7 型 80t 级汽车起重机设定了覆盖焊缝质量、整机可靠性、交付质量、进货质量与售后服务的六项质量指标。各指标要求值与指标定义由质量部会同臂架、液压、工艺等部门联合制定，统计口径统一，便于试制、量产与售后阶段按同一标准验证。具体质量指标设定见表 1，各指标均达到或严于行业同吨位产品的一般水平，为臂架优化方案的实施与验收提供量化依据，各项关键指标的目标状态见图 1 质量指标雷达。</w:t>
      </w:r>
    </w:p>
    <w:p>
      <w:pPr>
        <w:jc w:val="center"/>
      </w:pPr>
      <w:r>
        <w:rPr>
          <w:rFonts w:ascii="宋体" w:hAnsi="宋体" w:eastAsia="宋体"/>
          <w:b/>
          <w:sz w:val="21"/>
        </w:rPr>
        <w:t>表 1 质量指标设定表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序号</w:t>
            </w:r>
          </w:p>
        </w:tc>
        <w:tc>
          <w:tcPr>
            <w:tcW w:type="dxa" w:w="1728"/>
          </w:tcPr>
          <w:p>
            <w:pPr>
              <w:jc w:val="center"/>
            </w:pPr>
            <w:r>
              <w:rPr>
                <w:rFonts w:ascii="宋体" w:hAnsi="宋体" w:eastAsia="宋体"/>
                <w:b/>
                <w:sz w:val="21"/>
              </w:rPr>
              <w:t>质量指标</w:t>
            </w:r>
          </w:p>
        </w:tc>
        <w:tc>
          <w:tcPr>
            <w:tcW w:type="dxa" w:w="1728"/>
          </w:tcPr>
          <w:p>
            <w:pPr>
              <w:jc w:val="center"/>
            </w:pPr>
            <w:r>
              <w:rPr>
                <w:rFonts w:ascii="宋体" w:hAnsi="宋体" w:eastAsia="宋体"/>
                <w:b/>
                <w:sz w:val="21"/>
              </w:rPr>
              <w:t>指标要求值</w:t>
            </w:r>
          </w:p>
        </w:tc>
        <w:tc>
          <w:tcPr>
            <w:tcW w:type="dxa" w:w="1728"/>
          </w:tcPr>
          <w:p>
            <w:pPr>
              <w:jc w:val="center"/>
            </w:pPr>
            <w:r>
              <w:rPr>
                <w:rFonts w:ascii="宋体" w:hAnsi="宋体" w:eastAsia="宋体"/>
                <w:b/>
                <w:sz w:val="21"/>
              </w:rPr>
              <w:t>指标定义</w:t>
            </w:r>
          </w:p>
        </w:tc>
        <w:tc>
          <w:tcPr>
            <w:tcW w:type="dxa" w:w="1728"/>
          </w:tcPr>
          <w:p>
            <w:pPr>
              <w:jc w:val="center"/>
            </w:pPr>
            <w:r>
              <w:rPr>
                <w:rFonts w:ascii="宋体" w:hAnsi="宋体" w:eastAsia="宋体"/>
                <w:b/>
                <w:sz w:val="21"/>
              </w:rPr>
              <w:t>备注</w:t>
            </w:r>
          </w:p>
        </w:tc>
      </w:tr>
      <w:tr>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臂架焊缝一次合格率</w:t>
            </w:r>
          </w:p>
        </w:tc>
        <w:tc>
          <w:tcPr>
            <w:tcW w:type="dxa" w:w="1728"/>
          </w:tcPr>
          <w:p>
            <w:pPr>
              <w:jc w:val="center"/>
            </w:pPr>
            <w:r>
              <w:rPr>
                <w:rFonts w:ascii="宋体" w:hAnsi="宋体" w:eastAsia="宋体"/>
                <w:b w:val="0"/>
                <w:sz w:val="21"/>
              </w:rPr>
              <w:t>≥99.5%</w:t>
            </w:r>
          </w:p>
        </w:tc>
        <w:tc>
          <w:tcPr>
            <w:tcW w:type="dxa" w:w="1728"/>
          </w:tcPr>
          <w:p>
            <w:pPr>
              <w:jc w:val="center"/>
            </w:pPr>
            <w:r>
              <w:rPr>
                <w:rFonts w:ascii="宋体" w:hAnsi="宋体" w:eastAsia="宋体"/>
                <w:b w:val="0"/>
                <w:sz w:val="21"/>
              </w:rPr>
              <w:t>超声波+渗透探伤一次合格率</w:t>
            </w:r>
          </w:p>
        </w:tc>
        <w:tc>
          <w:tcPr>
            <w:tcW w:type="dxa" w:w="1728"/>
          </w:tcPr>
          <w:p>
            <w:pPr>
              <w:jc w:val="center"/>
            </w:pPr>
            <w:r>
              <w:rPr>
                <w:rFonts w:ascii="宋体" w:hAnsi="宋体" w:eastAsia="宋体"/>
                <w:b w:val="0"/>
                <w:sz w:val="21"/>
              </w:rPr>
              <w:t>焊后按 GB/T 11345 进行 100% 探伤</w:t>
            </w:r>
          </w:p>
        </w:tc>
      </w:tr>
      <w:tr>
        <w:tc>
          <w:tcPr>
            <w:tcW w:type="dxa" w:w="1728"/>
          </w:tcPr>
          <w:p>
            <w:pPr>
              <w:jc w:val="center"/>
            </w:pPr>
            <w:r>
              <w:rPr>
                <w:rFonts w:ascii="宋体" w:hAnsi="宋体" w:eastAsia="宋体"/>
                <w:b w:val="0"/>
                <w:sz w:val="21"/>
              </w:rPr>
              <w:t>2</w:t>
            </w:r>
          </w:p>
        </w:tc>
        <w:tc>
          <w:tcPr>
            <w:tcW w:type="dxa" w:w="1728"/>
          </w:tcPr>
          <w:p>
            <w:pPr>
              <w:jc w:val="center"/>
            </w:pPr>
            <w:r>
              <w:rPr>
                <w:rFonts w:ascii="宋体" w:hAnsi="宋体" w:eastAsia="宋体"/>
                <w:b w:val="0"/>
                <w:sz w:val="21"/>
              </w:rPr>
              <w:t>整机首年故障率</w:t>
            </w:r>
          </w:p>
        </w:tc>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交付后 12 个月故障台次数÷交付台数</w:t>
            </w:r>
          </w:p>
        </w:tc>
        <w:tc>
          <w:tcPr>
            <w:tcW w:type="dxa" w:w="1728"/>
          </w:tcPr>
          <w:p>
            <w:pPr>
              <w:jc w:val="center"/>
            </w:pPr>
            <w:r>
              <w:rPr>
                <w:rFonts w:ascii="宋体" w:hAnsi="宋体" w:eastAsia="宋体"/>
                <w:b w:val="0"/>
                <w:sz w:val="21"/>
              </w:rPr>
              <w:t>按分年度销量 120/180/230 台滚动统计</w:t>
            </w:r>
          </w:p>
        </w:tc>
      </w:tr>
      <w:tr>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平均无故障工作时间（MTBF）</w:t>
            </w:r>
          </w:p>
        </w:tc>
        <w:tc>
          <w:tcPr>
            <w:tcW w:type="dxa" w:w="1728"/>
          </w:tcPr>
          <w:p>
            <w:pPr>
              <w:jc w:val="center"/>
            </w:pPr>
            <w:r>
              <w:rPr>
                <w:rFonts w:ascii="宋体" w:hAnsi="宋体" w:eastAsia="宋体"/>
                <w:b w:val="0"/>
                <w:sz w:val="21"/>
              </w:rPr>
              <w:t>≥600h</w:t>
            </w:r>
          </w:p>
        </w:tc>
        <w:tc>
          <w:tcPr>
            <w:tcW w:type="dxa" w:w="1728"/>
          </w:tcPr>
          <w:p>
            <w:pPr>
              <w:jc w:val="center"/>
            </w:pPr>
            <w:r>
              <w:rPr>
                <w:rFonts w:ascii="宋体" w:hAnsi="宋体" w:eastAsia="宋体"/>
                <w:b w:val="0"/>
                <w:sz w:val="21"/>
              </w:rPr>
              <w:t>正常作业工况下相邻两次故障间的平均工作时间</w:t>
            </w:r>
          </w:p>
        </w:tc>
        <w:tc>
          <w:tcPr>
            <w:tcW w:type="dxa" w:w="1728"/>
          </w:tcPr>
          <w:p>
            <w:pPr>
              <w:jc w:val="center"/>
            </w:pPr>
            <w:r>
              <w:rPr>
                <w:rFonts w:ascii="宋体" w:hAnsi="宋体" w:eastAsia="宋体"/>
                <w:b w:val="0"/>
                <w:sz w:val="21"/>
              </w:rPr>
              <w:t>以可靠性台架试验与用户实际作业数据验证</w:t>
            </w:r>
          </w:p>
        </w:tc>
      </w:tr>
      <w:tr>
        <w:tc>
          <w:tcPr>
            <w:tcW w:type="dxa" w:w="1728"/>
          </w:tcPr>
          <w:p>
            <w:pPr>
              <w:jc w:val="center"/>
            </w:pPr>
            <w:r>
              <w:rPr>
                <w:rFonts w:ascii="宋体" w:hAnsi="宋体" w:eastAsia="宋体"/>
                <w:b w:val="0"/>
                <w:sz w:val="21"/>
              </w:rPr>
              <w:t>4</w:t>
            </w:r>
          </w:p>
        </w:tc>
        <w:tc>
          <w:tcPr>
            <w:tcW w:type="dxa" w:w="1728"/>
          </w:tcPr>
          <w:p>
            <w:pPr>
              <w:jc w:val="center"/>
            </w:pPr>
            <w:r>
              <w:rPr>
                <w:rFonts w:ascii="宋体" w:hAnsi="宋体" w:eastAsia="宋体"/>
                <w:b w:val="0"/>
                <w:sz w:val="21"/>
              </w:rPr>
              <w:t>交付一次交验合格率</w:t>
            </w:r>
          </w:p>
        </w:tc>
        <w:tc>
          <w:tcPr>
            <w:tcW w:type="dxa" w:w="1728"/>
          </w:tcPr>
          <w:p>
            <w:pPr>
              <w:jc w:val="center"/>
            </w:pPr>
            <w:r>
              <w:rPr>
                <w:rFonts w:ascii="宋体" w:hAnsi="宋体" w:eastAsia="宋体"/>
                <w:b w:val="0"/>
                <w:sz w:val="21"/>
              </w:rPr>
              <w:t>≥98%</w:t>
            </w:r>
          </w:p>
        </w:tc>
        <w:tc>
          <w:tcPr>
            <w:tcW w:type="dxa" w:w="1728"/>
          </w:tcPr>
          <w:p>
            <w:pPr>
              <w:jc w:val="center"/>
            </w:pPr>
            <w:r>
              <w:rPr>
                <w:rFonts w:ascii="宋体" w:hAnsi="宋体" w:eastAsia="宋体"/>
                <w:b w:val="0"/>
                <w:sz w:val="21"/>
              </w:rPr>
              <w:t>整机出厂一次交验合格台次数÷交验总台次数</w:t>
            </w:r>
          </w:p>
        </w:tc>
        <w:tc>
          <w:tcPr>
            <w:tcW w:type="dxa" w:w="1728"/>
          </w:tcPr>
          <w:p>
            <w:pPr>
              <w:jc w:val="center"/>
            </w:pPr>
            <w:r>
              <w:rPr>
                <w:rFonts w:ascii="宋体" w:hAnsi="宋体" w:eastAsia="宋体"/>
                <w:b w:val="0"/>
                <w:sz w:val="21"/>
              </w:rPr>
              <w:t>覆盖整机调试、检验全过程</w:t>
            </w:r>
          </w:p>
        </w:tc>
      </w:tr>
      <w:tr>
        <w:tc>
          <w:tcPr>
            <w:tcW w:type="dxa" w:w="1728"/>
          </w:tcPr>
          <w:p>
            <w:pPr>
              <w:jc w:val="center"/>
            </w:pPr>
            <w:r>
              <w:rPr>
                <w:rFonts w:ascii="宋体" w:hAnsi="宋体" w:eastAsia="宋体"/>
                <w:b w:val="0"/>
                <w:sz w:val="21"/>
              </w:rPr>
              <w:t>5</w:t>
            </w:r>
          </w:p>
        </w:tc>
        <w:tc>
          <w:tcPr>
            <w:tcW w:type="dxa" w:w="1728"/>
          </w:tcPr>
          <w:p>
            <w:pPr>
              <w:jc w:val="center"/>
            </w:pPr>
            <w:r>
              <w:rPr>
                <w:rFonts w:ascii="宋体" w:hAnsi="宋体" w:eastAsia="宋体"/>
                <w:b w:val="0"/>
                <w:sz w:val="21"/>
              </w:rPr>
              <w:t>关键件进货合格率</w:t>
            </w:r>
          </w:p>
        </w:tc>
        <w:tc>
          <w:tcPr>
            <w:tcW w:type="dxa" w:w="1728"/>
          </w:tcPr>
          <w:p>
            <w:pPr>
              <w:jc w:val="center"/>
            </w:pPr>
            <w:r>
              <w:rPr>
                <w:rFonts w:ascii="宋体" w:hAnsi="宋体" w:eastAsia="宋体"/>
                <w:b w:val="0"/>
                <w:sz w:val="21"/>
              </w:rPr>
              <w:t>≥99.2%</w:t>
            </w:r>
          </w:p>
        </w:tc>
        <w:tc>
          <w:tcPr>
            <w:tcW w:type="dxa" w:w="1728"/>
          </w:tcPr>
          <w:p>
            <w:pPr>
              <w:jc w:val="center"/>
            </w:pPr>
            <w:r>
              <w:rPr>
                <w:rFonts w:ascii="宋体" w:hAnsi="宋体" w:eastAsia="宋体"/>
                <w:b w:val="0"/>
                <w:sz w:val="21"/>
              </w:rPr>
              <w:t>关键外购件进货检验合格批次数÷进货检验总批次数</w:t>
            </w:r>
          </w:p>
        </w:tc>
        <w:tc>
          <w:tcPr>
            <w:tcW w:type="dxa" w:w="1728"/>
          </w:tcPr>
          <w:p>
            <w:pPr>
              <w:jc w:val="center"/>
            </w:pPr>
            <w:r>
              <w:rPr>
                <w:rFonts w:ascii="宋体" w:hAnsi="宋体" w:eastAsia="宋体"/>
                <w:b w:val="0"/>
                <w:sz w:val="21"/>
              </w:rPr>
              <w:t>覆盖高强钢板、油缸、主阀等关键件</w:t>
            </w:r>
          </w:p>
        </w:tc>
      </w:tr>
      <w:tr>
        <w:tc>
          <w:tcPr>
            <w:tcW w:type="dxa" w:w="1728"/>
          </w:tcPr>
          <w:p>
            <w:pPr>
              <w:jc w:val="center"/>
            </w:pPr>
            <w:r>
              <w:rPr>
                <w:rFonts w:ascii="宋体" w:hAnsi="宋体" w:eastAsia="宋体"/>
                <w:b w:val="0"/>
                <w:sz w:val="21"/>
              </w:rPr>
              <w:t>6</w:t>
            </w:r>
          </w:p>
        </w:tc>
        <w:tc>
          <w:tcPr>
            <w:tcW w:type="dxa" w:w="1728"/>
          </w:tcPr>
          <w:p>
            <w:pPr>
              <w:jc w:val="center"/>
            </w:pPr>
            <w:r>
              <w:rPr>
                <w:rFonts w:ascii="宋体" w:hAnsi="宋体" w:eastAsia="宋体"/>
                <w:b w:val="0"/>
                <w:sz w:val="21"/>
              </w:rPr>
              <w:t>售后响应时间</w:t>
            </w:r>
          </w:p>
        </w:tc>
        <w:tc>
          <w:tcPr>
            <w:tcW w:type="dxa" w:w="1728"/>
          </w:tcPr>
          <w:p>
            <w:pPr>
              <w:jc w:val="center"/>
            </w:pPr>
            <w:r>
              <w:rPr>
                <w:rFonts w:ascii="宋体" w:hAnsi="宋体" w:eastAsia="宋体"/>
                <w:b w:val="0"/>
                <w:sz w:val="21"/>
              </w:rPr>
              <w:t>≤4h</w:t>
            </w:r>
          </w:p>
        </w:tc>
        <w:tc>
          <w:tcPr>
            <w:tcW w:type="dxa" w:w="1728"/>
          </w:tcPr>
          <w:p>
            <w:pPr>
              <w:jc w:val="center"/>
            </w:pPr>
            <w:r>
              <w:rPr>
                <w:rFonts w:ascii="宋体" w:hAnsi="宋体" w:eastAsia="宋体"/>
                <w:b w:val="0"/>
                <w:sz w:val="21"/>
              </w:rPr>
              <w:t>省会城市自接到报修至到达现场的时间</w:t>
            </w:r>
          </w:p>
        </w:tc>
        <w:tc>
          <w:tcPr>
            <w:tcW w:type="dxa" w:w="1728"/>
          </w:tcPr>
          <w:p>
            <w:pPr>
              <w:jc w:val="center"/>
            </w:pPr>
            <w:r>
              <w:rPr>
                <w:rFonts w:ascii="宋体" w:hAnsi="宋体" w:eastAsia="宋体"/>
                <w:b w:val="0"/>
                <w:sz w:val="21"/>
              </w:rPr>
              <w:t>依托全国服务网点覆盖华东、华北、华南、西南、华中五大区域</w:t>
            </w:r>
          </w:p>
        </w:tc>
      </w:tr>
    </w:tbl>
    <w:p>
      <w:pPr>
        <w:jc w:val="center"/>
      </w:pPr>
      <w:r>
        <w:drawing>
          <wp:inline xmlns:a="http://schemas.openxmlformats.org/drawingml/2006/main" xmlns:pic="http://schemas.openxmlformats.org/drawingml/2006/picture">
            <wp:extent cx="5040000" cy="4603238"/>
            <wp:docPr id="1" name="Picture 1"/>
            <wp:cNvGraphicFramePr>
              <a:graphicFrameLocks noChangeAspect="1"/>
            </wp:cNvGraphicFramePr>
            <a:graphic>
              <a:graphicData uri="http://schemas.openxmlformats.org/drawingml/2006/picture">
                <pic:pic>
                  <pic:nvPicPr>
                    <pic:cNvPr id="0" name="quality_radar.png"/>
                    <pic:cNvPicPr/>
                  </pic:nvPicPr>
                  <pic:blipFill>
                    <a:blip r:embed="rId9"/>
                    <a:stretch>
                      <a:fillRect/>
                    </a:stretch>
                  </pic:blipFill>
                  <pic:spPr>
                    <a:xfrm>
                      <a:off x="0" y="0"/>
                      <a:ext cx="5040000" cy="4603238"/>
                    </a:xfrm>
                    <a:prstGeom prst="rect"/>
                  </pic:spPr>
                </pic:pic>
              </a:graphicData>
            </a:graphic>
          </wp:inline>
        </w:drawing>
      </w:r>
    </w:p>
    <w:p>
      <w:pPr>
        <w:jc w:val="center"/>
      </w:pPr>
      <w:r>
        <w:rPr>
          <w:rFonts w:ascii="黑体" w:hAnsi="黑体" w:eastAsia="黑体"/>
          <w:b w:val="0"/>
          <w:sz w:val="21"/>
        </w:rPr>
        <w:t>图 1 质量指标雷达</w:t>
      </w:r>
    </w:p>
    <w:p>
      <w:pPr>
        <w:spacing w:line="240" w:lineRule="auto" w:before="160" w:after="160"/>
      </w:pPr>
      <w:r>
        <w:rPr>
          <w:rFonts w:ascii="黑体" w:hAnsi="黑体" w:eastAsia="黑体"/>
          <w:b w:val="0"/>
          <w:sz w:val="24"/>
        </w:rPr>
        <w:t>历史故障清单</w:t>
      </w:r>
    </w:p>
    <w:p>
      <w:pPr>
        <w:jc w:val="center"/>
      </w:pPr>
      <w:r>
        <w:rPr>
          <w:rFonts w:ascii="宋体" w:hAnsi="宋体" w:eastAsia="宋体"/>
          <w:b/>
          <w:sz w:val="21"/>
        </w:rPr>
        <w:t>表 2 同类产品历史故障清单</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宋体" w:hAnsi="宋体" w:eastAsia="宋体"/>
                <w:b/>
                <w:sz w:val="21"/>
              </w:rPr>
              <w:t>序号</w:t>
            </w:r>
          </w:p>
        </w:tc>
        <w:tc>
          <w:tcPr>
            <w:tcW w:type="dxa" w:w="1080"/>
          </w:tcPr>
          <w:p>
            <w:pPr>
              <w:jc w:val="center"/>
            </w:pPr>
            <w:r>
              <w:rPr>
                <w:rFonts w:ascii="宋体" w:hAnsi="宋体" w:eastAsia="宋体"/>
                <w:b/>
                <w:sz w:val="21"/>
              </w:rPr>
              <w:t>型号</w:t>
            </w:r>
          </w:p>
        </w:tc>
        <w:tc>
          <w:tcPr>
            <w:tcW w:type="dxa" w:w="1080"/>
          </w:tcPr>
          <w:p>
            <w:pPr>
              <w:jc w:val="center"/>
            </w:pPr>
            <w:r>
              <w:rPr>
                <w:rFonts w:ascii="宋体" w:hAnsi="宋体" w:eastAsia="宋体"/>
                <w:b/>
                <w:sz w:val="21"/>
              </w:rPr>
              <w:t>故障问题</w:t>
            </w:r>
          </w:p>
        </w:tc>
        <w:tc>
          <w:tcPr>
            <w:tcW w:type="dxa" w:w="1080"/>
          </w:tcPr>
          <w:p>
            <w:pPr>
              <w:jc w:val="center"/>
            </w:pPr>
            <w:r>
              <w:rPr>
                <w:rFonts w:ascii="宋体" w:hAnsi="宋体" w:eastAsia="宋体"/>
                <w:b/>
                <w:sz w:val="21"/>
              </w:rPr>
              <w:t>原因分析</w:t>
            </w:r>
          </w:p>
        </w:tc>
        <w:tc>
          <w:tcPr>
            <w:tcW w:type="dxa" w:w="1080"/>
          </w:tcPr>
          <w:p>
            <w:pPr>
              <w:jc w:val="center"/>
            </w:pPr>
            <w:r>
              <w:rPr>
                <w:rFonts w:ascii="宋体" w:hAnsi="宋体" w:eastAsia="宋体"/>
                <w:b/>
                <w:sz w:val="21"/>
              </w:rPr>
              <w:t>故障频率</w:t>
            </w:r>
          </w:p>
        </w:tc>
        <w:tc>
          <w:tcPr>
            <w:tcW w:type="dxa" w:w="1080"/>
          </w:tcPr>
          <w:p>
            <w:pPr>
              <w:jc w:val="center"/>
            </w:pPr>
            <w:r>
              <w:rPr>
                <w:rFonts w:ascii="宋体" w:hAnsi="宋体" w:eastAsia="宋体"/>
                <w:b/>
                <w:sz w:val="21"/>
              </w:rPr>
              <w:t>故障比例</w:t>
            </w:r>
          </w:p>
        </w:tc>
        <w:tc>
          <w:tcPr>
            <w:tcW w:type="dxa" w:w="1080"/>
          </w:tcPr>
          <w:p>
            <w:pPr>
              <w:jc w:val="center"/>
            </w:pPr>
            <w:r>
              <w:rPr>
                <w:rFonts w:ascii="宋体" w:hAnsi="宋体" w:eastAsia="宋体"/>
                <w:b/>
                <w:sz w:val="21"/>
              </w:rPr>
              <w:t>解决措施</w:t>
            </w:r>
          </w:p>
        </w:tc>
        <w:tc>
          <w:tcPr>
            <w:tcW w:type="dxa" w:w="1080"/>
          </w:tcPr>
          <w:p>
            <w:pPr>
              <w:jc w:val="center"/>
            </w:pPr>
            <w:r>
              <w:rPr>
                <w:rFonts w:ascii="宋体" w:hAnsi="宋体" w:eastAsia="宋体"/>
                <w:b/>
                <w:sz w:val="21"/>
              </w:rPr>
              <w:t>开发建议及意见</w:t>
            </w:r>
          </w:p>
        </w:tc>
      </w:tr>
      <w:tr>
        <w:tc>
          <w:tcPr>
            <w:tcW w:type="dxa" w:w="1080"/>
          </w:tcPr>
          <w:p>
            <w:pPr>
              <w:jc w:val="center"/>
            </w:pPr>
            <w:r>
              <w:rPr>
                <w:rFonts w:ascii="宋体" w:hAnsi="宋体" w:eastAsia="宋体"/>
                <w:b w:val="0"/>
                <w:sz w:val="21"/>
              </w:rPr>
              <w:t>1</w:t>
            </w:r>
          </w:p>
        </w:tc>
        <w:tc>
          <w:tcPr>
            <w:tcW w:type="dxa" w:w="1080"/>
          </w:tcPr>
          <w:p>
            <w:pPr>
              <w:jc w:val="center"/>
            </w:pPr>
            <w:r>
              <w:rPr>
                <w:rFonts w:ascii="宋体" w:hAnsi="宋体" w:eastAsia="宋体"/>
                <w:b w:val="0"/>
                <w:sz w:val="21"/>
              </w:rPr>
              <w:t>XCT80L6</w:t>
            </w:r>
          </w:p>
        </w:tc>
        <w:tc>
          <w:tcPr>
            <w:tcW w:type="dxa" w:w="1080"/>
          </w:tcPr>
          <w:p>
            <w:pPr>
              <w:jc w:val="center"/>
            </w:pPr>
            <w:r>
              <w:rPr>
                <w:rFonts w:ascii="宋体" w:hAnsi="宋体" w:eastAsia="宋体"/>
                <w:b w:val="0"/>
                <w:sz w:val="21"/>
              </w:rPr>
              <w:t>吊臂焊缝开裂（根部局部）</w:t>
            </w:r>
          </w:p>
        </w:tc>
        <w:tc>
          <w:tcPr>
            <w:tcW w:type="dxa" w:w="1080"/>
          </w:tcPr>
          <w:p>
            <w:pPr>
              <w:jc w:val="center"/>
            </w:pPr>
            <w:r>
              <w:rPr>
                <w:rFonts w:ascii="宋体" w:hAnsi="宋体" w:eastAsia="宋体"/>
                <w:b w:val="0"/>
                <w:sz w:val="21"/>
              </w:rPr>
              <w:t>局部应力集中+焊接残余应力</w:t>
            </w:r>
          </w:p>
        </w:tc>
        <w:tc>
          <w:tcPr>
            <w:tcW w:type="dxa" w:w="1080"/>
          </w:tcPr>
          <w:p>
            <w:pPr>
              <w:jc w:val="center"/>
            </w:pPr>
            <w:r>
              <w:rPr>
                <w:rFonts w:ascii="宋体" w:hAnsi="宋体" w:eastAsia="宋体"/>
                <w:b w:val="0"/>
                <w:sz w:val="21"/>
              </w:rPr>
              <w:t>12次/年</w:t>
            </w:r>
          </w:p>
        </w:tc>
        <w:tc>
          <w:tcPr>
            <w:tcW w:type="dxa" w:w="1080"/>
          </w:tcPr>
          <w:p>
            <w:pPr>
              <w:jc w:val="center"/>
            </w:pPr>
            <w:r>
              <w:rPr>
                <w:rFonts w:ascii="宋体" w:hAnsi="宋体" w:eastAsia="宋体"/>
                <w:b w:val="0"/>
                <w:sz w:val="21"/>
              </w:rPr>
              <w:t>6%</w:t>
            </w:r>
          </w:p>
        </w:tc>
        <w:tc>
          <w:tcPr>
            <w:tcW w:type="dxa" w:w="1080"/>
          </w:tcPr>
          <w:p>
            <w:pPr>
              <w:jc w:val="center"/>
            </w:pPr>
            <w:r>
              <w:rPr>
                <w:rFonts w:ascii="宋体" w:hAnsi="宋体" w:eastAsia="宋体"/>
                <w:b w:val="0"/>
                <w:sz w:val="21"/>
              </w:rPr>
              <w:t>补焊修复+焊缝探伤</w:t>
            </w:r>
          </w:p>
        </w:tc>
        <w:tc>
          <w:tcPr>
            <w:tcW w:type="dxa" w:w="1080"/>
          </w:tcPr>
          <w:p>
            <w:pPr>
              <w:jc w:val="center"/>
            </w:pPr>
            <w:r>
              <w:rPr>
                <w:rFonts w:ascii="宋体" w:hAnsi="宋体" w:eastAsia="宋体"/>
                <w:b w:val="0"/>
                <w:sz w:val="21"/>
              </w:rPr>
              <w:t>新臂架提高焊缝质量等级并全数探伤</w:t>
            </w:r>
          </w:p>
        </w:tc>
      </w:tr>
      <w:tr>
        <w:tc>
          <w:tcPr>
            <w:tcW w:type="dxa" w:w="1080"/>
          </w:tcPr>
          <w:p>
            <w:pPr>
              <w:jc w:val="center"/>
            </w:pPr>
            <w:r>
              <w:rPr>
                <w:rFonts w:ascii="宋体" w:hAnsi="宋体" w:eastAsia="宋体"/>
                <w:b w:val="0"/>
                <w:sz w:val="21"/>
              </w:rPr>
              <w:t>2</w:t>
            </w:r>
          </w:p>
        </w:tc>
        <w:tc>
          <w:tcPr>
            <w:tcW w:type="dxa" w:w="1080"/>
          </w:tcPr>
          <w:p>
            <w:pPr>
              <w:jc w:val="center"/>
            </w:pPr>
            <w:r>
              <w:rPr>
                <w:rFonts w:ascii="宋体" w:hAnsi="宋体" w:eastAsia="宋体"/>
                <w:b w:val="0"/>
                <w:sz w:val="21"/>
              </w:rPr>
              <w:t>XCT80L6</w:t>
            </w:r>
          </w:p>
        </w:tc>
        <w:tc>
          <w:tcPr>
            <w:tcW w:type="dxa" w:w="1080"/>
          </w:tcPr>
          <w:p>
            <w:pPr>
              <w:jc w:val="center"/>
            </w:pPr>
            <w:r>
              <w:rPr>
                <w:rFonts w:ascii="宋体" w:hAnsi="宋体" w:eastAsia="宋体"/>
                <w:b w:val="0"/>
                <w:sz w:val="21"/>
              </w:rPr>
              <w:t>变幅油缸内漏</w:t>
            </w:r>
          </w:p>
        </w:tc>
        <w:tc>
          <w:tcPr>
            <w:tcW w:type="dxa" w:w="1080"/>
          </w:tcPr>
          <w:p>
            <w:pPr>
              <w:jc w:val="center"/>
            </w:pPr>
            <w:r>
              <w:rPr>
                <w:rFonts w:ascii="宋体" w:hAnsi="宋体" w:eastAsia="宋体"/>
                <w:b w:val="0"/>
                <w:sz w:val="21"/>
              </w:rPr>
              <w:t>密封老化+变幅冲击</w:t>
            </w:r>
          </w:p>
        </w:tc>
        <w:tc>
          <w:tcPr>
            <w:tcW w:type="dxa" w:w="1080"/>
          </w:tcPr>
          <w:p>
            <w:pPr>
              <w:jc w:val="center"/>
            </w:pPr>
            <w:r>
              <w:rPr>
                <w:rFonts w:ascii="宋体" w:hAnsi="宋体" w:eastAsia="宋体"/>
                <w:b w:val="0"/>
                <w:sz w:val="21"/>
              </w:rPr>
              <w:t>10次/年</w:t>
            </w:r>
          </w:p>
        </w:tc>
        <w:tc>
          <w:tcPr>
            <w:tcW w:type="dxa" w:w="1080"/>
          </w:tcPr>
          <w:p>
            <w:pPr>
              <w:jc w:val="center"/>
            </w:pPr>
            <w:r>
              <w:rPr>
                <w:rFonts w:ascii="宋体" w:hAnsi="宋体" w:eastAsia="宋体"/>
                <w:b w:val="0"/>
                <w:sz w:val="21"/>
              </w:rPr>
              <w:t>5%</w:t>
            </w:r>
          </w:p>
        </w:tc>
        <w:tc>
          <w:tcPr>
            <w:tcW w:type="dxa" w:w="1080"/>
          </w:tcPr>
          <w:p>
            <w:pPr>
              <w:jc w:val="center"/>
            </w:pPr>
            <w:r>
              <w:rPr>
                <w:rFonts w:ascii="宋体" w:hAnsi="宋体" w:eastAsia="宋体"/>
                <w:b w:val="0"/>
                <w:sz w:val="21"/>
              </w:rPr>
              <w:t>更换密封、增加缓冲</w:t>
            </w:r>
          </w:p>
        </w:tc>
        <w:tc>
          <w:tcPr>
            <w:tcW w:type="dxa" w:w="1080"/>
          </w:tcPr>
          <w:p>
            <w:pPr>
              <w:jc w:val="center"/>
            </w:pPr>
            <w:r>
              <w:rPr>
                <w:rFonts w:ascii="宋体" w:hAnsi="宋体" w:eastAsia="宋体"/>
                <w:b w:val="0"/>
                <w:sz w:val="21"/>
              </w:rPr>
              <w:t>提升变幅油缸密封可靠性并加强缓冲</w:t>
            </w:r>
          </w:p>
        </w:tc>
      </w:tr>
      <w:tr>
        <w:tc>
          <w:tcPr>
            <w:tcW w:type="dxa" w:w="1080"/>
          </w:tcPr>
          <w:p>
            <w:pPr>
              <w:jc w:val="center"/>
            </w:pPr>
            <w:r>
              <w:rPr>
                <w:rFonts w:ascii="宋体" w:hAnsi="宋体" w:eastAsia="宋体"/>
                <w:b w:val="0"/>
                <w:sz w:val="21"/>
              </w:rPr>
              <w:t>3</w:t>
            </w:r>
          </w:p>
        </w:tc>
        <w:tc>
          <w:tcPr>
            <w:tcW w:type="dxa" w:w="1080"/>
          </w:tcPr>
          <w:p>
            <w:pPr>
              <w:jc w:val="center"/>
            </w:pPr>
            <w:r>
              <w:rPr>
                <w:rFonts w:ascii="宋体" w:hAnsi="宋体" w:eastAsia="宋体"/>
                <w:b w:val="0"/>
                <w:sz w:val="21"/>
              </w:rPr>
              <w:t>XCT80L6</w:t>
            </w:r>
          </w:p>
        </w:tc>
        <w:tc>
          <w:tcPr>
            <w:tcW w:type="dxa" w:w="1080"/>
          </w:tcPr>
          <w:p>
            <w:pPr>
              <w:jc w:val="center"/>
            </w:pPr>
            <w:r>
              <w:rPr>
                <w:rFonts w:ascii="宋体" w:hAnsi="宋体" w:eastAsia="宋体"/>
                <w:b w:val="0"/>
                <w:sz w:val="21"/>
              </w:rPr>
              <w:t>卷扬制动异响</w:t>
            </w:r>
          </w:p>
        </w:tc>
        <w:tc>
          <w:tcPr>
            <w:tcW w:type="dxa" w:w="1080"/>
          </w:tcPr>
          <w:p>
            <w:pPr>
              <w:jc w:val="center"/>
            </w:pPr>
            <w:r>
              <w:rPr>
                <w:rFonts w:ascii="宋体" w:hAnsi="宋体" w:eastAsia="宋体"/>
                <w:b w:val="0"/>
                <w:sz w:val="21"/>
              </w:rPr>
              <w:t>制动器摩擦副磨损</w:t>
            </w:r>
          </w:p>
        </w:tc>
        <w:tc>
          <w:tcPr>
            <w:tcW w:type="dxa" w:w="1080"/>
          </w:tcPr>
          <w:p>
            <w:pPr>
              <w:jc w:val="center"/>
            </w:pPr>
            <w:r>
              <w:rPr>
                <w:rFonts w:ascii="宋体" w:hAnsi="宋体" w:eastAsia="宋体"/>
                <w:b w:val="0"/>
                <w:sz w:val="21"/>
              </w:rPr>
              <w:t>8次/年</w:t>
            </w:r>
          </w:p>
        </w:tc>
        <w:tc>
          <w:tcPr>
            <w:tcW w:type="dxa" w:w="1080"/>
          </w:tcPr>
          <w:p>
            <w:pPr>
              <w:jc w:val="center"/>
            </w:pPr>
            <w:r>
              <w:rPr>
                <w:rFonts w:ascii="宋体" w:hAnsi="宋体" w:eastAsia="宋体"/>
                <w:b w:val="0"/>
                <w:sz w:val="21"/>
              </w:rPr>
              <w:t>4%</w:t>
            </w:r>
          </w:p>
        </w:tc>
        <w:tc>
          <w:tcPr>
            <w:tcW w:type="dxa" w:w="1080"/>
          </w:tcPr>
          <w:p>
            <w:pPr>
              <w:jc w:val="center"/>
            </w:pPr>
            <w:r>
              <w:rPr>
                <w:rFonts w:ascii="宋体" w:hAnsi="宋体" w:eastAsia="宋体"/>
                <w:b w:val="0"/>
                <w:sz w:val="21"/>
              </w:rPr>
              <w:t>更换制动片</w:t>
            </w:r>
          </w:p>
        </w:tc>
        <w:tc>
          <w:tcPr>
            <w:tcW w:type="dxa" w:w="1080"/>
          </w:tcPr>
          <w:p>
            <w:pPr>
              <w:jc w:val="center"/>
            </w:pPr>
            <w:r>
              <w:rPr>
                <w:rFonts w:ascii="宋体" w:hAnsi="宋体" w:eastAsia="宋体"/>
                <w:b w:val="0"/>
                <w:sz w:val="21"/>
              </w:rPr>
              <w:t>制动器选型优化并开展台架耐久验证</w:t>
            </w:r>
          </w:p>
        </w:tc>
      </w:tr>
      <w:tr>
        <w:tc>
          <w:tcPr>
            <w:tcW w:type="dxa" w:w="1080"/>
          </w:tcPr>
          <w:p>
            <w:pPr>
              <w:jc w:val="center"/>
            </w:pPr>
            <w:r>
              <w:rPr>
                <w:rFonts w:ascii="宋体" w:hAnsi="宋体" w:eastAsia="宋体"/>
                <w:b w:val="0"/>
                <w:sz w:val="21"/>
              </w:rPr>
              <w:t>4</w:t>
            </w:r>
          </w:p>
        </w:tc>
        <w:tc>
          <w:tcPr>
            <w:tcW w:type="dxa" w:w="1080"/>
          </w:tcPr>
          <w:p>
            <w:pPr>
              <w:jc w:val="center"/>
            </w:pPr>
            <w:r>
              <w:rPr>
                <w:rFonts w:ascii="宋体" w:hAnsi="宋体" w:eastAsia="宋体"/>
                <w:b w:val="0"/>
                <w:sz w:val="21"/>
              </w:rPr>
              <w:t>XCT80L6</w:t>
            </w:r>
          </w:p>
        </w:tc>
        <w:tc>
          <w:tcPr>
            <w:tcW w:type="dxa" w:w="1080"/>
          </w:tcPr>
          <w:p>
            <w:pPr>
              <w:jc w:val="center"/>
            </w:pPr>
            <w:r>
              <w:rPr>
                <w:rFonts w:ascii="宋体" w:hAnsi="宋体" w:eastAsia="宋体"/>
                <w:b w:val="0"/>
                <w:sz w:val="21"/>
              </w:rPr>
              <w:t>液压阀卡滞</w:t>
            </w:r>
          </w:p>
        </w:tc>
        <w:tc>
          <w:tcPr>
            <w:tcW w:type="dxa" w:w="1080"/>
          </w:tcPr>
          <w:p>
            <w:pPr>
              <w:jc w:val="center"/>
            </w:pPr>
            <w:r>
              <w:rPr>
                <w:rFonts w:ascii="宋体" w:hAnsi="宋体" w:eastAsia="宋体"/>
                <w:b w:val="0"/>
                <w:sz w:val="21"/>
              </w:rPr>
              <w:t>油液污染</w:t>
            </w:r>
          </w:p>
        </w:tc>
        <w:tc>
          <w:tcPr>
            <w:tcW w:type="dxa" w:w="1080"/>
          </w:tcPr>
          <w:p>
            <w:pPr>
              <w:jc w:val="center"/>
            </w:pPr>
            <w:r>
              <w:rPr>
                <w:rFonts w:ascii="宋体" w:hAnsi="宋体" w:eastAsia="宋体"/>
                <w:b w:val="0"/>
                <w:sz w:val="21"/>
              </w:rPr>
              <w:t>6次/年</w:t>
            </w:r>
          </w:p>
        </w:tc>
        <w:tc>
          <w:tcPr>
            <w:tcW w:type="dxa" w:w="1080"/>
          </w:tcPr>
          <w:p>
            <w:pPr>
              <w:jc w:val="center"/>
            </w:pPr>
            <w:r>
              <w:rPr>
                <w:rFonts w:ascii="宋体" w:hAnsi="宋体" w:eastAsia="宋体"/>
                <w:b w:val="0"/>
                <w:sz w:val="21"/>
              </w:rPr>
              <w:t>3%</w:t>
            </w:r>
          </w:p>
        </w:tc>
        <w:tc>
          <w:tcPr>
            <w:tcW w:type="dxa" w:w="1080"/>
          </w:tcPr>
          <w:p>
            <w:pPr>
              <w:jc w:val="center"/>
            </w:pPr>
            <w:r>
              <w:rPr>
                <w:rFonts w:ascii="宋体" w:hAnsi="宋体" w:eastAsia="宋体"/>
                <w:b w:val="0"/>
                <w:sz w:val="21"/>
              </w:rPr>
              <w:t>清洗换油、提高过滤精度</w:t>
            </w:r>
          </w:p>
        </w:tc>
        <w:tc>
          <w:tcPr>
            <w:tcW w:type="dxa" w:w="1080"/>
          </w:tcPr>
          <w:p>
            <w:pPr>
              <w:jc w:val="center"/>
            </w:pPr>
            <w:r>
              <w:rPr>
                <w:rFonts w:ascii="宋体" w:hAnsi="宋体" w:eastAsia="宋体"/>
                <w:b w:val="0"/>
                <w:sz w:val="21"/>
              </w:rPr>
              <w:t>提升液压系统过滤精度与油液清洁度管理</w:t>
            </w:r>
          </w:p>
        </w:tc>
      </w:tr>
      <w:tr>
        <w:tc>
          <w:tcPr>
            <w:tcW w:type="dxa" w:w="1080"/>
          </w:tcPr>
          <w:p>
            <w:pPr>
              <w:jc w:val="center"/>
            </w:pPr>
            <w:r>
              <w:rPr>
                <w:rFonts w:ascii="宋体" w:hAnsi="宋体" w:eastAsia="宋体"/>
                <w:b w:val="0"/>
                <w:sz w:val="21"/>
              </w:rPr>
              <w:t>5</w:t>
            </w:r>
          </w:p>
        </w:tc>
        <w:tc>
          <w:tcPr>
            <w:tcW w:type="dxa" w:w="1080"/>
          </w:tcPr>
          <w:p>
            <w:pPr>
              <w:jc w:val="center"/>
            </w:pPr>
            <w:r>
              <w:rPr>
                <w:rFonts w:ascii="宋体" w:hAnsi="宋体" w:eastAsia="宋体"/>
                <w:b w:val="0"/>
                <w:sz w:val="21"/>
              </w:rPr>
              <w:t>XCT80L6</w:t>
            </w:r>
          </w:p>
        </w:tc>
        <w:tc>
          <w:tcPr>
            <w:tcW w:type="dxa" w:w="1080"/>
          </w:tcPr>
          <w:p>
            <w:pPr>
              <w:jc w:val="center"/>
            </w:pPr>
            <w:r>
              <w:rPr>
                <w:rFonts w:ascii="宋体" w:hAnsi="宋体" w:eastAsia="宋体"/>
                <w:b w:val="0"/>
                <w:sz w:val="21"/>
              </w:rPr>
              <w:t>回转支承异响</w:t>
            </w:r>
          </w:p>
        </w:tc>
        <w:tc>
          <w:tcPr>
            <w:tcW w:type="dxa" w:w="1080"/>
          </w:tcPr>
          <w:p>
            <w:pPr>
              <w:jc w:val="center"/>
            </w:pPr>
            <w:r>
              <w:rPr>
                <w:rFonts w:ascii="宋体" w:hAnsi="宋体" w:eastAsia="宋体"/>
                <w:b w:val="0"/>
                <w:sz w:val="21"/>
              </w:rPr>
              <w:t>润滑不足+紧固松动</w:t>
            </w:r>
          </w:p>
        </w:tc>
        <w:tc>
          <w:tcPr>
            <w:tcW w:type="dxa" w:w="1080"/>
          </w:tcPr>
          <w:p>
            <w:pPr>
              <w:jc w:val="center"/>
            </w:pPr>
            <w:r>
              <w:rPr>
                <w:rFonts w:ascii="宋体" w:hAnsi="宋体" w:eastAsia="宋体"/>
                <w:b w:val="0"/>
                <w:sz w:val="21"/>
              </w:rPr>
              <w:t>5次/年</w:t>
            </w:r>
          </w:p>
        </w:tc>
        <w:tc>
          <w:tcPr>
            <w:tcW w:type="dxa" w:w="1080"/>
          </w:tcPr>
          <w:p>
            <w:pPr>
              <w:jc w:val="center"/>
            </w:pPr>
            <w:r>
              <w:rPr>
                <w:rFonts w:ascii="宋体" w:hAnsi="宋体" w:eastAsia="宋体"/>
                <w:b w:val="0"/>
                <w:sz w:val="21"/>
              </w:rPr>
              <w:t>2.5%</w:t>
            </w:r>
          </w:p>
        </w:tc>
        <w:tc>
          <w:tcPr>
            <w:tcW w:type="dxa" w:w="1080"/>
          </w:tcPr>
          <w:p>
            <w:pPr>
              <w:jc w:val="center"/>
            </w:pPr>
            <w:r>
              <w:rPr>
                <w:rFonts w:ascii="宋体" w:hAnsi="宋体" w:eastAsia="宋体"/>
                <w:b w:val="0"/>
                <w:sz w:val="21"/>
              </w:rPr>
              <w:t>补脂保养、重新紧固</w:t>
            </w:r>
          </w:p>
        </w:tc>
        <w:tc>
          <w:tcPr>
            <w:tcW w:type="dxa" w:w="1080"/>
          </w:tcPr>
          <w:p>
            <w:pPr>
              <w:jc w:val="center"/>
            </w:pPr>
            <w:r>
              <w:rPr>
                <w:rFonts w:ascii="宋体" w:hAnsi="宋体" w:eastAsia="宋体"/>
                <w:b w:val="0"/>
                <w:sz w:val="21"/>
              </w:rPr>
              <w:t>增加润滑状态监控与保养提醒</w:t>
            </w:r>
          </w:p>
        </w:tc>
      </w:tr>
    </w:tbl>
    <w:p>
      <w:pPr>
        <w:spacing w:line="360" w:lineRule="auto"/>
        <w:ind w:firstLineChars="200"/>
        <w:jc w:val="both"/>
      </w:pPr>
      <w:r>
        <w:rPr>
          <w:rFonts w:ascii="宋体" w:hAnsi="宋体" w:eastAsia="宋体"/>
          <w:b w:val="0"/>
          <w:sz w:val="24"/>
        </w:rPr>
        <w:t>对现款 XCT80L6 存量数据的梳理显示，故障集中于吊臂焊缝、变幅油缸、卷扬制动、液压阀与回转支承等部位，焊缝局部应力集中与液压元件密封可靠性是主要失效模式。上述历史问题已作为本次 XCT80L7 开发的设计输入：新臂架按更高质量等级组织并实施超声波与渗透全数探伤，变幅油缸与卷扬制动器加强选型与台架耐久验证，液压系统提高过滤精度并强化油液清洁度管理。通过在设计、采购与制造环节逐项承接历史故障的解决措施，可显著降低新品首年故障率，确保整机首年故障率不超过 3%、平均无故障工作时间不低于 600h 的目标落地。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