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val="0"/>
          <w:sz w:val="24"/>
        </w:rPr>
        <w:t>产品名称：XCT80L7 型汽车起重机</w:t>
      </w:r>
    </w:p>
    <w:p>
      <w:pPr>
        <w:jc w:val="center"/>
      </w:pPr>
      <w:r>
        <w:rPr>
          <w:rFonts w:ascii="宋体" w:hAnsi="宋体" w:eastAsia="宋体"/>
          <w:b w:val="0"/>
          <w:sz w:val="24"/>
        </w:rPr>
        <w:t>项目名称：80t 汽车起重机臂架优化项目</w:t>
      </w:r>
    </w:p>
    <w:p>
      <w:pPr>
        <w:jc w:val="center"/>
      </w:pPr>
      <w:r>
        <w:rPr>
          <w:rFonts w:ascii="宋体" w:hAnsi="宋体" w:eastAsia="宋体"/>
          <w:b w:val="0"/>
          <w:sz w:val="24"/>
        </w:rPr>
        <w:t>项目编号：XG-ZX-2026-042</w:t>
      </w:r>
    </w:p>
    <w:p/>
    <w:p>
      <w:pPr>
        <w:jc w:val="center"/>
      </w:pPr>
      <w:r>
        <w:rPr>
          <w:rFonts w:ascii="黑体" w:hAnsi="黑体" w:eastAsia="黑体"/>
          <w:b/>
          <w:sz w:val="32"/>
        </w:rPr>
        <w:t>市场调研报告</w:t>
      </w:r>
    </w:p>
    <w:p/>
    <w:p>
      <w:pPr>
        <w:spacing w:line="240" w:lineRule="auto" w:before="160" w:after="160"/>
      </w:pPr>
      <w:r>
        <w:rPr>
          <w:rFonts w:ascii="黑体" w:hAnsi="黑体" w:eastAsia="黑体"/>
          <w:b w:val="0"/>
          <w:sz w:val="24"/>
        </w:rPr>
        <w:t>调研信息</w:t>
      </w:r>
    </w:p>
    <w:p>
      <w:pPr>
        <w:jc w:val="center"/>
      </w:pPr>
      <w:r>
        <w:rPr>
          <w:rFonts w:ascii="宋体" w:hAnsi="宋体" w:eastAsia="宋体"/>
          <w:b/>
          <w:sz w:val="21"/>
        </w:rPr>
        <w:t>表 1 调研信息表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21"/>
              </w:rPr>
              <w:t>序号</w:t>
            </w:r>
          </w:p>
        </w:tc>
        <w:tc>
          <w:tcPr>
            <w:tcW w:type="dxa" w:w="1440"/>
          </w:tcPr>
          <w:p>
            <w:pPr>
              <w:jc w:val="center"/>
            </w:pPr>
            <w:r>
              <w:rPr>
                <w:rFonts w:ascii="宋体" w:hAnsi="宋体" w:eastAsia="宋体"/>
                <w:b/>
                <w:sz w:val="21"/>
              </w:rPr>
              <w:t>调研区域</w:t>
            </w:r>
          </w:p>
        </w:tc>
        <w:tc>
          <w:tcPr>
            <w:tcW w:type="dxa" w:w="1440"/>
          </w:tcPr>
          <w:p>
            <w:pPr>
              <w:jc w:val="center"/>
            </w:pPr>
            <w:r>
              <w:rPr>
                <w:rFonts w:ascii="宋体" w:hAnsi="宋体" w:eastAsia="宋体"/>
                <w:b/>
                <w:sz w:val="21"/>
              </w:rPr>
              <w:t>调研方法、途径</w:t>
            </w:r>
          </w:p>
        </w:tc>
        <w:tc>
          <w:tcPr>
            <w:tcW w:type="dxa" w:w="1440"/>
          </w:tcPr>
          <w:p>
            <w:pPr>
              <w:jc w:val="center"/>
            </w:pPr>
            <w:r>
              <w:rPr>
                <w:rFonts w:ascii="宋体" w:hAnsi="宋体" w:eastAsia="宋体"/>
                <w:b/>
                <w:sz w:val="21"/>
              </w:rPr>
              <w:t>调研对象</w:t>
            </w:r>
          </w:p>
        </w:tc>
        <w:tc>
          <w:tcPr>
            <w:tcW w:type="dxa" w:w="1440"/>
          </w:tcPr>
          <w:p>
            <w:pPr>
              <w:jc w:val="center"/>
            </w:pPr>
            <w:r>
              <w:rPr>
                <w:rFonts w:ascii="宋体" w:hAnsi="宋体" w:eastAsia="宋体"/>
                <w:b/>
                <w:sz w:val="21"/>
              </w:rPr>
              <w:t>调研任务</w:t>
            </w:r>
          </w:p>
        </w:tc>
        <w:tc>
          <w:tcPr>
            <w:tcW w:type="dxa" w:w="1440"/>
          </w:tcPr>
          <w:p>
            <w:pPr>
              <w:jc w:val="center"/>
            </w:pPr>
            <w:r>
              <w:rPr>
                <w:rFonts w:ascii="宋体" w:hAnsi="宋体" w:eastAsia="宋体"/>
                <w:b/>
                <w:sz w:val="21"/>
              </w:rPr>
              <w:t>备注</w:t>
            </w:r>
          </w:p>
        </w:tc>
      </w:tr>
      <w:tr>
        <w:tc>
          <w:tcPr>
            <w:tcW w:type="dxa" w:w="1440"/>
          </w:tcPr>
          <w:p>
            <w:pPr>
              <w:jc w:val="center"/>
            </w:pPr>
            <w:r>
              <w:rPr>
                <w:rFonts w:ascii="宋体" w:hAnsi="宋体" w:eastAsia="宋体"/>
                <w:b w:val="0"/>
                <w:sz w:val="21"/>
              </w:rPr>
              <w:t>1</w:t>
            </w:r>
          </w:p>
        </w:tc>
        <w:tc>
          <w:tcPr>
            <w:tcW w:type="dxa" w:w="1440"/>
          </w:tcPr>
          <w:p>
            <w:pPr>
              <w:jc w:val="center"/>
            </w:pPr>
            <w:r>
              <w:rPr>
                <w:rFonts w:ascii="宋体" w:hAnsi="宋体" w:eastAsia="宋体"/>
                <w:b w:val="0"/>
                <w:sz w:val="21"/>
              </w:rPr>
              <w:t>华东（山东、江苏）</w:t>
            </w:r>
          </w:p>
        </w:tc>
        <w:tc>
          <w:tcPr>
            <w:tcW w:type="dxa" w:w="1440"/>
          </w:tcPr>
          <w:p>
            <w:pPr>
              <w:jc w:val="center"/>
            </w:pPr>
            <w:r>
              <w:rPr>
                <w:rFonts w:ascii="宋体" w:hAnsi="宋体" w:eastAsia="宋体"/>
                <w:b w:val="0"/>
                <w:sz w:val="21"/>
              </w:rPr>
              <w:t>经销商走访、终端用户现场访谈</w:t>
            </w:r>
          </w:p>
        </w:tc>
        <w:tc>
          <w:tcPr>
            <w:tcW w:type="dxa" w:w="1440"/>
          </w:tcPr>
          <w:p>
            <w:pPr>
              <w:jc w:val="center"/>
            </w:pPr>
            <w:r>
              <w:rPr>
                <w:rFonts w:ascii="宋体" w:hAnsi="宋体" w:eastAsia="宋体"/>
                <w:b w:val="0"/>
                <w:sz w:val="21"/>
              </w:rPr>
              <w:t>吊装公司、塔机租赁商、港口装卸单位</w:t>
            </w:r>
          </w:p>
        </w:tc>
        <w:tc>
          <w:tcPr>
            <w:tcW w:type="dxa" w:w="1440"/>
          </w:tcPr>
          <w:p>
            <w:pPr>
              <w:jc w:val="center"/>
            </w:pPr>
            <w:r>
              <w:rPr>
                <w:rFonts w:ascii="宋体" w:hAnsi="宋体" w:eastAsia="宋体"/>
                <w:b w:val="0"/>
                <w:sz w:val="21"/>
              </w:rPr>
              <w:t>了解80t级主吊工况、载荷分布与选型偏好</w:t>
            </w:r>
          </w:p>
        </w:tc>
        <w:tc>
          <w:tcPr>
            <w:tcW w:type="dxa" w:w="1440"/>
          </w:tcPr>
          <w:p>
            <w:pPr>
              <w:jc w:val="center"/>
            </w:pPr>
            <w:r>
              <w:rPr>
                <w:rFonts w:ascii="宋体" w:hAnsi="宋体" w:eastAsia="宋体"/>
                <w:b w:val="0"/>
                <w:sz w:val="21"/>
              </w:rPr>
              <w:t>样本12家</w:t>
            </w:r>
          </w:p>
        </w:tc>
      </w:tr>
      <w:tr>
        <w:tc>
          <w:tcPr>
            <w:tcW w:type="dxa" w:w="1440"/>
          </w:tcPr>
          <w:p>
            <w:pPr>
              <w:jc w:val="center"/>
            </w:pPr>
            <w:r>
              <w:rPr>
                <w:rFonts w:ascii="宋体" w:hAnsi="宋体" w:eastAsia="宋体"/>
                <w:b w:val="0"/>
                <w:sz w:val="21"/>
              </w:rPr>
              <w:t>2</w:t>
            </w:r>
          </w:p>
        </w:tc>
        <w:tc>
          <w:tcPr>
            <w:tcW w:type="dxa" w:w="1440"/>
          </w:tcPr>
          <w:p>
            <w:pPr>
              <w:jc w:val="center"/>
            </w:pPr>
            <w:r>
              <w:rPr>
                <w:rFonts w:ascii="宋体" w:hAnsi="宋体" w:eastAsia="宋体"/>
                <w:b w:val="0"/>
                <w:sz w:val="21"/>
              </w:rPr>
              <w:t>华北（京津冀）</w:t>
            </w:r>
          </w:p>
        </w:tc>
        <w:tc>
          <w:tcPr>
            <w:tcW w:type="dxa" w:w="1440"/>
          </w:tcPr>
          <w:p>
            <w:pPr>
              <w:jc w:val="center"/>
            </w:pPr>
            <w:r>
              <w:rPr>
                <w:rFonts w:ascii="宋体" w:hAnsi="宋体" w:eastAsia="宋体"/>
                <w:b w:val="0"/>
                <w:sz w:val="21"/>
              </w:rPr>
              <w:t>展会调研、售后服务记录分析</w:t>
            </w:r>
          </w:p>
        </w:tc>
        <w:tc>
          <w:tcPr>
            <w:tcW w:type="dxa" w:w="1440"/>
          </w:tcPr>
          <w:p>
            <w:pPr>
              <w:jc w:val="center"/>
            </w:pPr>
            <w:r>
              <w:rPr>
                <w:rFonts w:ascii="宋体" w:hAnsi="宋体" w:eastAsia="宋体"/>
                <w:b w:val="0"/>
                <w:sz w:val="21"/>
              </w:rPr>
              <w:t>风电安装企业、桥梁施工单位</w:t>
            </w:r>
          </w:p>
        </w:tc>
        <w:tc>
          <w:tcPr>
            <w:tcW w:type="dxa" w:w="1440"/>
          </w:tcPr>
          <w:p>
            <w:pPr>
              <w:jc w:val="center"/>
            </w:pPr>
            <w:r>
              <w:rPr>
                <w:rFonts w:ascii="宋体" w:hAnsi="宋体" w:eastAsia="宋体"/>
                <w:b w:val="0"/>
                <w:sz w:val="21"/>
              </w:rPr>
              <w:t>调研风电检修工况与超起需求</w:t>
            </w:r>
          </w:p>
        </w:tc>
        <w:tc>
          <w:tcPr>
            <w:tcW w:type="dxa" w:w="1440"/>
          </w:tcPr>
          <w:p>
            <w:pPr>
              <w:jc w:val="center"/>
            </w:pPr>
            <w:r>
              <w:rPr>
                <w:rFonts w:ascii="宋体" w:hAnsi="宋体" w:eastAsia="宋体"/>
                <w:b w:val="0"/>
                <w:sz w:val="21"/>
              </w:rPr>
              <w:t>样本9家</w:t>
            </w:r>
          </w:p>
        </w:tc>
      </w:tr>
      <w:tr>
        <w:tc>
          <w:tcPr>
            <w:tcW w:type="dxa" w:w="1440"/>
          </w:tcPr>
          <w:p>
            <w:pPr>
              <w:jc w:val="center"/>
            </w:pPr>
            <w:r>
              <w:rPr>
                <w:rFonts w:ascii="宋体" w:hAnsi="宋体" w:eastAsia="宋体"/>
                <w:b w:val="0"/>
                <w:sz w:val="21"/>
              </w:rPr>
              <w:t>3</w:t>
            </w:r>
          </w:p>
        </w:tc>
        <w:tc>
          <w:tcPr>
            <w:tcW w:type="dxa" w:w="1440"/>
          </w:tcPr>
          <w:p>
            <w:pPr>
              <w:jc w:val="center"/>
            </w:pPr>
            <w:r>
              <w:rPr>
                <w:rFonts w:ascii="宋体" w:hAnsi="宋体" w:eastAsia="宋体"/>
                <w:b w:val="0"/>
                <w:sz w:val="21"/>
              </w:rPr>
              <w:t>华南（广东、广西）</w:t>
            </w:r>
          </w:p>
        </w:tc>
        <w:tc>
          <w:tcPr>
            <w:tcW w:type="dxa" w:w="1440"/>
          </w:tcPr>
          <w:p>
            <w:pPr>
              <w:jc w:val="center"/>
            </w:pPr>
            <w:r>
              <w:rPr>
                <w:rFonts w:ascii="宋体" w:hAnsi="宋体" w:eastAsia="宋体"/>
                <w:b w:val="0"/>
                <w:sz w:val="21"/>
              </w:rPr>
              <w:t>竞品对比试验、用户座谈会</w:t>
            </w:r>
          </w:p>
        </w:tc>
        <w:tc>
          <w:tcPr>
            <w:tcW w:type="dxa" w:w="1440"/>
          </w:tcPr>
          <w:p>
            <w:pPr>
              <w:jc w:val="center"/>
            </w:pPr>
            <w:r>
              <w:rPr>
                <w:rFonts w:ascii="宋体" w:hAnsi="宋体" w:eastAsia="宋体"/>
                <w:b w:val="0"/>
                <w:sz w:val="21"/>
              </w:rPr>
              <w:t>石化建设、市政吊装用户</w:t>
            </w:r>
          </w:p>
        </w:tc>
        <w:tc>
          <w:tcPr>
            <w:tcW w:type="dxa" w:w="1440"/>
          </w:tcPr>
          <w:p>
            <w:pPr>
              <w:jc w:val="center"/>
            </w:pPr>
            <w:r>
              <w:rPr>
                <w:rFonts w:ascii="宋体" w:hAnsi="宋体" w:eastAsia="宋体"/>
                <w:b w:val="0"/>
                <w:sz w:val="21"/>
              </w:rPr>
              <w:t>评估性价比敏感度与价格带</w:t>
            </w:r>
          </w:p>
        </w:tc>
        <w:tc>
          <w:tcPr>
            <w:tcW w:type="dxa" w:w="1440"/>
          </w:tcPr>
          <w:p>
            <w:pPr>
              <w:jc w:val="center"/>
            </w:pPr>
            <w:r>
              <w:rPr>
                <w:rFonts w:ascii="宋体" w:hAnsi="宋体" w:eastAsia="宋体"/>
                <w:b w:val="0"/>
                <w:sz w:val="21"/>
              </w:rPr>
              <w:t>样本8家</w:t>
            </w:r>
          </w:p>
        </w:tc>
      </w:tr>
      <w:tr>
        <w:tc>
          <w:tcPr>
            <w:tcW w:type="dxa" w:w="1440"/>
          </w:tcPr>
          <w:p>
            <w:pPr>
              <w:jc w:val="center"/>
            </w:pPr>
            <w:r>
              <w:rPr>
                <w:rFonts w:ascii="宋体" w:hAnsi="宋体" w:eastAsia="宋体"/>
                <w:b w:val="0"/>
                <w:sz w:val="21"/>
              </w:rPr>
              <w:t>4</w:t>
            </w:r>
          </w:p>
        </w:tc>
        <w:tc>
          <w:tcPr>
            <w:tcW w:type="dxa" w:w="1440"/>
          </w:tcPr>
          <w:p>
            <w:pPr>
              <w:jc w:val="center"/>
            </w:pPr>
            <w:r>
              <w:rPr>
                <w:rFonts w:ascii="宋体" w:hAnsi="宋体" w:eastAsia="宋体"/>
                <w:b w:val="0"/>
                <w:sz w:val="21"/>
              </w:rPr>
              <w:t>西南（四川、云南）</w:t>
            </w:r>
          </w:p>
        </w:tc>
        <w:tc>
          <w:tcPr>
            <w:tcW w:type="dxa" w:w="1440"/>
          </w:tcPr>
          <w:p>
            <w:pPr>
              <w:jc w:val="center"/>
            </w:pPr>
            <w:r>
              <w:rPr>
                <w:rFonts w:ascii="宋体" w:hAnsi="宋体" w:eastAsia="宋体"/>
                <w:b w:val="0"/>
                <w:sz w:val="21"/>
              </w:rPr>
              <w:t>经销商访谈、二手市场调研</w:t>
            </w:r>
          </w:p>
        </w:tc>
        <w:tc>
          <w:tcPr>
            <w:tcW w:type="dxa" w:w="1440"/>
          </w:tcPr>
          <w:p>
            <w:pPr>
              <w:jc w:val="center"/>
            </w:pPr>
            <w:r>
              <w:rPr>
                <w:rFonts w:ascii="宋体" w:hAnsi="宋体" w:eastAsia="宋体"/>
                <w:b w:val="0"/>
                <w:sz w:val="21"/>
              </w:rPr>
              <w:t>基建总包、租赁公司</w:t>
            </w:r>
          </w:p>
        </w:tc>
        <w:tc>
          <w:tcPr>
            <w:tcW w:type="dxa" w:w="1440"/>
          </w:tcPr>
          <w:p>
            <w:pPr>
              <w:jc w:val="center"/>
            </w:pPr>
            <w:r>
              <w:rPr>
                <w:rFonts w:ascii="宋体" w:hAnsi="宋体" w:eastAsia="宋体"/>
                <w:b w:val="0"/>
                <w:sz w:val="21"/>
              </w:rPr>
              <w:t>了解二手残值与全生命周期成本</w:t>
            </w:r>
          </w:p>
        </w:tc>
        <w:tc>
          <w:tcPr>
            <w:tcW w:type="dxa" w:w="1440"/>
          </w:tcPr>
          <w:p>
            <w:pPr>
              <w:jc w:val="center"/>
            </w:pPr>
            <w:r>
              <w:rPr>
                <w:rFonts w:ascii="宋体" w:hAnsi="宋体" w:eastAsia="宋体"/>
                <w:b w:val="0"/>
                <w:sz w:val="21"/>
              </w:rPr>
              <w:t>样本6家</w:t>
            </w:r>
          </w:p>
        </w:tc>
      </w:tr>
      <w:tr>
        <w:tc>
          <w:tcPr>
            <w:tcW w:type="dxa" w:w="1440"/>
          </w:tcPr>
          <w:p>
            <w:pPr>
              <w:jc w:val="center"/>
            </w:pPr>
            <w:r>
              <w:rPr>
                <w:rFonts w:ascii="宋体" w:hAnsi="宋体" w:eastAsia="宋体"/>
                <w:b w:val="0"/>
                <w:sz w:val="21"/>
              </w:rPr>
              <w:t>5</w:t>
            </w:r>
          </w:p>
        </w:tc>
        <w:tc>
          <w:tcPr>
            <w:tcW w:type="dxa" w:w="1440"/>
          </w:tcPr>
          <w:p>
            <w:pPr>
              <w:jc w:val="center"/>
            </w:pPr>
            <w:r>
              <w:rPr>
                <w:rFonts w:ascii="宋体" w:hAnsi="宋体" w:eastAsia="宋体"/>
                <w:b w:val="0"/>
                <w:sz w:val="21"/>
              </w:rPr>
              <w:t>华中（河南、湖北）</w:t>
            </w:r>
          </w:p>
        </w:tc>
        <w:tc>
          <w:tcPr>
            <w:tcW w:type="dxa" w:w="1440"/>
          </w:tcPr>
          <w:p>
            <w:pPr>
              <w:jc w:val="center"/>
            </w:pPr>
            <w:r>
              <w:rPr>
                <w:rFonts w:ascii="宋体" w:hAnsi="宋体" w:eastAsia="宋体"/>
                <w:b w:val="0"/>
                <w:sz w:val="21"/>
              </w:rPr>
              <w:t>400电话投诉数据分析</w:t>
            </w:r>
          </w:p>
        </w:tc>
        <w:tc>
          <w:tcPr>
            <w:tcW w:type="dxa" w:w="1440"/>
          </w:tcPr>
          <w:p>
            <w:pPr>
              <w:jc w:val="center"/>
            </w:pPr>
            <w:r>
              <w:rPr>
                <w:rFonts w:ascii="宋体" w:hAnsi="宋体" w:eastAsia="宋体"/>
                <w:b w:val="0"/>
                <w:sz w:val="21"/>
              </w:rPr>
              <w:t>全区域存量用户</w:t>
            </w:r>
          </w:p>
        </w:tc>
        <w:tc>
          <w:tcPr>
            <w:tcW w:type="dxa" w:w="1440"/>
          </w:tcPr>
          <w:p>
            <w:pPr>
              <w:jc w:val="center"/>
            </w:pPr>
            <w:r>
              <w:rPr>
                <w:rFonts w:ascii="宋体" w:hAnsi="宋体" w:eastAsia="宋体"/>
                <w:b w:val="0"/>
                <w:sz w:val="21"/>
              </w:rPr>
              <w:t>统计分析故障高发工况</w:t>
            </w:r>
          </w:p>
        </w:tc>
        <w:tc>
          <w:tcPr>
            <w:tcW w:type="dxa" w:w="1440"/>
          </w:tcPr>
          <w:p>
            <w:pPr>
              <w:jc w:val="center"/>
            </w:pPr>
            <w:r>
              <w:rPr>
                <w:rFonts w:ascii="宋体" w:hAnsi="宋体" w:eastAsia="宋体"/>
                <w:b w:val="0"/>
                <w:sz w:val="21"/>
              </w:rPr>
              <w:t>覆盖近3年数据</w:t>
            </w:r>
          </w:p>
        </w:tc>
      </w:tr>
    </w:tbl>
    <w:p>
      <w:pPr>
        <w:spacing w:line="240" w:lineRule="auto" w:before="160" w:after="160"/>
      </w:pPr>
      <w:r>
        <w:rPr>
          <w:rFonts w:ascii="黑体" w:hAnsi="黑体" w:eastAsia="黑体"/>
          <w:b w:val="0"/>
          <w:sz w:val="24"/>
        </w:rPr>
        <w:t>调研结果</w:t>
      </w:r>
    </w:p>
    <w:p>
      <w:pPr>
        <w:spacing w:line="240" w:lineRule="auto" w:before="100" w:after="100"/>
      </w:pPr>
      <w:r>
        <w:rPr>
          <w:rFonts w:ascii="宋体" w:hAnsi="宋体" w:eastAsia="宋体"/>
          <w:b/>
          <w:sz w:val="24"/>
        </w:rPr>
        <w:t>调研信息</w:t>
      </w:r>
    </w:p>
    <w:p>
      <w:pPr>
        <w:spacing w:line="360" w:lineRule="auto"/>
        <w:ind w:firstLineChars="200"/>
        <w:jc w:val="both"/>
      </w:pPr>
      <w:r>
        <w:rPr>
          <w:rFonts w:ascii="宋体" w:hAnsi="宋体" w:eastAsia="宋体"/>
          <w:b w:val="0"/>
          <w:sz w:val="24"/>
        </w:rPr>
        <w:t>本次调研覆盖华东（山东、江苏）、华北（京津冀）、华南（广东、广西）、西南（四川、云南）、华中（河南、湖北）五大区域，调研时间为 2026 年 5 月至 7 月。调研采取经销商走访、终端用户现场访谈、展会调研、竞品对比试验、售后服务记录与 400 电话投诉数据分析等多种途径，合计完成 40 家样本单位的调研。调研对象涵盖吊装公司、塔机租赁商、风电安装企业、基建总包及全区域存量用户，重点了解 80t 级主吊工况、载荷分布、选型偏好、风电检修与超起需求、价格敏感度、二手残值及全生命周期成本等信息，具体途径与样本情况见表 1。</w:t>
      </w:r>
    </w:p>
    <w:p>
      <w:pPr>
        <w:spacing w:line="240" w:lineRule="auto" w:before="100" w:after="100"/>
      </w:pPr>
      <w:r>
        <w:rPr>
          <w:rFonts w:ascii="宋体" w:hAnsi="宋体" w:eastAsia="宋体"/>
          <w:b/>
          <w:sz w:val="24"/>
        </w:rPr>
        <w:t>调研结论</w:t>
      </w:r>
    </w:p>
    <w:p>
      <w:pPr>
        <w:spacing w:line="360" w:lineRule="auto"/>
        <w:ind w:firstLineChars="200"/>
        <w:jc w:val="both"/>
      </w:pPr>
      <w:r>
        <w:rPr>
          <w:rFonts w:ascii="宋体" w:hAnsi="宋体" w:eastAsia="宋体"/>
          <w:b w:val="0"/>
          <w:sz w:val="24"/>
        </w:rPr>
        <w:t>需求特征：80t 级为国内汽车起重机的主吊机型，本次调研测算国内年需求约 850 台，市场规模总体稳定。从工况分布看，桥梁架设、厂房吊装、风电安装检修三类核心工况合计占比约 73%，其中桥梁架设约 30%、厂房吊装约 25%、风电安装检修约 18%；基础工程、港口码头及其他场景合计约 27%。受风电装机持续增长拉动，风电安装检修成为增速最快的细分领域。用户普遍反映现款产品存在起重能力余量不足、主臂长度受限等短板，高频转场用户对整机自重与转场效率敏感，风电检修场景则对大臂长与稳定变幅性能提出更高要求，工况占比分布见图 1。</w:t>
      </w:r>
    </w:p>
    <w:p>
      <w:pPr>
        <w:spacing w:line="360" w:lineRule="auto"/>
        <w:ind w:firstLineChars="200"/>
        <w:jc w:val="both"/>
      </w:pPr>
      <w:r>
        <w:rPr>
          <w:rFonts w:ascii="宋体" w:hAnsi="宋体" w:eastAsia="宋体"/>
          <w:b w:val="0"/>
          <w:sz w:val="24"/>
        </w:rPr>
        <w:t>竞争格局：国内 80t 级市场由三一（STC800）、中联（ZTC800V）、徐工（XCT80L6）三家主导，三家合计约占市场 74%，其中三一以渠道和性价比优势居首，中联在租赁客户群体中认可度较高，徐工以综合性能与品牌口碑见长，其余品牌份额相对分散。用户对竞品的普遍评价是配置同质化明显、价格竞争激烈，差异点主要体现在臂长、微动性与智能化配置。现款 XCT80L7 与三款竞品相比处于相近价格区间，须依靠臂架性能与整机经济性的综合平衡实现差异化突破。</w:t>
      </w:r>
    </w:p>
    <w:p>
      <w:pPr>
        <w:jc w:val="center"/>
      </w:pPr>
      <w:r>
        <w:rPr>
          <w:rFonts w:ascii="宋体" w:hAnsi="宋体" w:eastAsia="宋体"/>
          <w:b/>
          <w:sz w:val="21"/>
        </w:rPr>
        <w:t>表 2 调研结果汇总表</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宋体" w:hAnsi="宋体" w:eastAsia="宋体"/>
                <w:b/>
                <w:sz w:val="21"/>
              </w:rPr>
              <w:t>序号</w:t>
            </w:r>
          </w:p>
        </w:tc>
        <w:tc>
          <w:tcPr>
            <w:tcW w:type="dxa" w:w="1234"/>
          </w:tcPr>
          <w:p>
            <w:pPr>
              <w:jc w:val="center"/>
            </w:pPr>
            <w:r>
              <w:rPr>
                <w:rFonts w:ascii="宋体" w:hAnsi="宋体" w:eastAsia="宋体"/>
                <w:b/>
                <w:sz w:val="21"/>
              </w:rPr>
              <w:t>客户群体</w:t>
            </w:r>
          </w:p>
        </w:tc>
        <w:tc>
          <w:tcPr>
            <w:tcW w:type="dxa" w:w="1234"/>
          </w:tcPr>
          <w:p>
            <w:pPr>
              <w:jc w:val="center"/>
            </w:pPr>
            <w:r>
              <w:rPr>
                <w:rFonts w:ascii="宋体" w:hAnsi="宋体" w:eastAsia="宋体"/>
                <w:b/>
                <w:sz w:val="21"/>
              </w:rPr>
              <w:t>客户规模/市场容量</w:t>
            </w:r>
          </w:p>
        </w:tc>
        <w:tc>
          <w:tcPr>
            <w:tcW w:type="dxa" w:w="1234"/>
          </w:tcPr>
          <w:p>
            <w:pPr>
              <w:jc w:val="center"/>
            </w:pPr>
            <w:r>
              <w:rPr>
                <w:rFonts w:ascii="宋体" w:hAnsi="宋体" w:eastAsia="宋体"/>
                <w:b/>
                <w:sz w:val="21"/>
              </w:rPr>
              <w:t>施工场景/工况</w:t>
            </w:r>
          </w:p>
        </w:tc>
        <w:tc>
          <w:tcPr>
            <w:tcW w:type="dxa" w:w="1234"/>
          </w:tcPr>
          <w:p>
            <w:pPr>
              <w:jc w:val="center"/>
            </w:pPr>
            <w:r>
              <w:rPr>
                <w:rFonts w:ascii="宋体" w:hAnsi="宋体" w:eastAsia="宋体"/>
                <w:b/>
                <w:sz w:val="21"/>
              </w:rPr>
              <w:t>工况分布占比</w:t>
            </w:r>
          </w:p>
        </w:tc>
        <w:tc>
          <w:tcPr>
            <w:tcW w:type="dxa" w:w="1234"/>
          </w:tcPr>
          <w:p>
            <w:pPr>
              <w:jc w:val="center"/>
            </w:pPr>
            <w:r>
              <w:rPr>
                <w:rFonts w:ascii="宋体" w:hAnsi="宋体" w:eastAsia="宋体"/>
                <w:b/>
                <w:sz w:val="21"/>
              </w:rPr>
              <w:t>业务痛点/客户需求</w:t>
            </w:r>
          </w:p>
        </w:tc>
        <w:tc>
          <w:tcPr>
            <w:tcW w:type="dxa" w:w="1234"/>
          </w:tcPr>
          <w:p>
            <w:pPr>
              <w:jc w:val="center"/>
            </w:pPr>
            <w:r>
              <w:rPr>
                <w:rFonts w:ascii="宋体" w:hAnsi="宋体" w:eastAsia="宋体"/>
                <w:b/>
                <w:sz w:val="21"/>
              </w:rPr>
              <w:t>信息来源</w:t>
            </w:r>
          </w:p>
        </w:tc>
      </w:tr>
      <w:tr>
        <w:tc>
          <w:tcPr>
            <w:tcW w:type="dxa" w:w="1234"/>
          </w:tcPr>
          <w:p>
            <w:pPr>
              <w:jc w:val="center"/>
            </w:pPr>
            <w:r>
              <w:rPr>
                <w:rFonts w:ascii="宋体" w:hAnsi="宋体" w:eastAsia="宋体"/>
                <w:b w:val="0"/>
                <w:sz w:val="21"/>
              </w:rPr>
              <w:t>1</w:t>
            </w:r>
          </w:p>
        </w:tc>
        <w:tc>
          <w:tcPr>
            <w:tcW w:type="dxa" w:w="1234"/>
          </w:tcPr>
          <w:p>
            <w:pPr>
              <w:jc w:val="center"/>
            </w:pPr>
            <w:r>
              <w:rPr>
                <w:rFonts w:ascii="宋体" w:hAnsi="宋体" w:eastAsia="宋体"/>
                <w:b w:val="0"/>
                <w:sz w:val="21"/>
              </w:rPr>
              <w:t>吊装公司</w:t>
            </w:r>
          </w:p>
        </w:tc>
        <w:tc>
          <w:tcPr>
            <w:tcW w:type="dxa" w:w="1234"/>
          </w:tcPr>
          <w:p>
            <w:pPr>
              <w:jc w:val="center"/>
            </w:pPr>
            <w:r>
              <w:rPr>
                <w:rFonts w:ascii="宋体" w:hAnsi="宋体" w:eastAsia="宋体"/>
                <w:b w:val="0"/>
                <w:sz w:val="21"/>
              </w:rPr>
              <w:t>80t级国内年需求约850台</w:t>
            </w:r>
          </w:p>
        </w:tc>
        <w:tc>
          <w:tcPr>
            <w:tcW w:type="dxa" w:w="1234"/>
          </w:tcPr>
          <w:p>
            <w:pPr>
              <w:jc w:val="center"/>
            </w:pPr>
            <w:r>
              <w:rPr>
                <w:rFonts w:ascii="宋体" w:hAnsi="宋体" w:eastAsia="宋体"/>
                <w:b w:val="0"/>
                <w:sz w:val="21"/>
              </w:rPr>
              <w:t>桥梁架设、厂房吊装</w:t>
            </w:r>
          </w:p>
        </w:tc>
        <w:tc>
          <w:tcPr>
            <w:tcW w:type="dxa" w:w="1234"/>
          </w:tcPr>
          <w:p>
            <w:pPr>
              <w:jc w:val="center"/>
            </w:pPr>
            <w:r>
              <w:rPr>
                <w:rFonts w:ascii="宋体" w:hAnsi="宋体" w:eastAsia="宋体"/>
                <w:b w:val="0"/>
                <w:sz w:val="21"/>
              </w:rPr>
              <w:t>30%</w:t>
            </w:r>
          </w:p>
        </w:tc>
        <w:tc>
          <w:tcPr>
            <w:tcW w:type="dxa" w:w="1234"/>
          </w:tcPr>
          <w:p>
            <w:pPr>
              <w:jc w:val="center"/>
            </w:pPr>
            <w:r>
              <w:rPr>
                <w:rFonts w:ascii="宋体" w:hAnsi="宋体" w:eastAsia="宋体"/>
                <w:b w:val="0"/>
                <w:sz w:val="21"/>
              </w:rPr>
              <w:t>起重能力余量不足，主臂长度受限</w:t>
            </w:r>
          </w:p>
        </w:tc>
        <w:tc>
          <w:tcPr>
            <w:tcW w:type="dxa" w:w="1234"/>
          </w:tcPr>
          <w:p>
            <w:pPr>
              <w:jc w:val="center"/>
            </w:pPr>
            <w:r>
              <w:rPr>
                <w:rFonts w:ascii="宋体" w:hAnsi="宋体" w:eastAsia="宋体"/>
                <w:b w:val="0"/>
                <w:sz w:val="21"/>
              </w:rPr>
              <w:t>经销商走访</w:t>
            </w:r>
          </w:p>
        </w:tc>
      </w:tr>
      <w:tr>
        <w:tc>
          <w:tcPr>
            <w:tcW w:type="dxa" w:w="1234"/>
          </w:tcPr>
          <w:p>
            <w:pPr>
              <w:jc w:val="center"/>
            </w:pPr>
            <w:r>
              <w:rPr>
                <w:rFonts w:ascii="宋体" w:hAnsi="宋体" w:eastAsia="宋体"/>
                <w:b w:val="0"/>
                <w:sz w:val="21"/>
              </w:rPr>
              <w:t>2</w:t>
            </w:r>
          </w:p>
        </w:tc>
        <w:tc>
          <w:tcPr>
            <w:tcW w:type="dxa" w:w="1234"/>
          </w:tcPr>
          <w:p>
            <w:pPr>
              <w:jc w:val="center"/>
            </w:pPr>
            <w:r>
              <w:rPr>
                <w:rFonts w:ascii="宋体" w:hAnsi="宋体" w:eastAsia="宋体"/>
                <w:b w:val="0"/>
                <w:sz w:val="21"/>
              </w:rPr>
              <w:t>塔机租赁商</w:t>
            </w:r>
          </w:p>
        </w:tc>
        <w:tc>
          <w:tcPr>
            <w:tcW w:type="dxa" w:w="1234"/>
          </w:tcPr>
          <w:p>
            <w:pPr>
              <w:jc w:val="center"/>
            </w:pPr>
            <w:r>
              <w:rPr>
                <w:rFonts w:ascii="宋体" w:hAnsi="宋体" w:eastAsia="宋体"/>
                <w:b w:val="0"/>
                <w:sz w:val="21"/>
              </w:rPr>
              <w:t>租赁市场保有量约3200台</w:t>
            </w:r>
          </w:p>
        </w:tc>
        <w:tc>
          <w:tcPr>
            <w:tcW w:type="dxa" w:w="1234"/>
          </w:tcPr>
          <w:p>
            <w:pPr>
              <w:jc w:val="center"/>
            </w:pPr>
            <w:r>
              <w:rPr>
                <w:rFonts w:ascii="宋体" w:hAnsi="宋体" w:eastAsia="宋体"/>
                <w:b w:val="0"/>
                <w:sz w:val="21"/>
              </w:rPr>
              <w:t>房建、钢结构安装</w:t>
            </w:r>
          </w:p>
        </w:tc>
        <w:tc>
          <w:tcPr>
            <w:tcW w:type="dxa" w:w="1234"/>
          </w:tcPr>
          <w:p>
            <w:pPr>
              <w:jc w:val="center"/>
            </w:pPr>
            <w:r>
              <w:rPr>
                <w:rFonts w:ascii="宋体" w:hAnsi="宋体" w:eastAsia="宋体"/>
                <w:b w:val="0"/>
                <w:sz w:val="21"/>
              </w:rPr>
              <w:t>25%</w:t>
            </w:r>
          </w:p>
        </w:tc>
        <w:tc>
          <w:tcPr>
            <w:tcW w:type="dxa" w:w="1234"/>
          </w:tcPr>
          <w:p>
            <w:pPr>
              <w:jc w:val="center"/>
            </w:pPr>
            <w:r>
              <w:rPr>
                <w:rFonts w:ascii="宋体" w:hAnsi="宋体" w:eastAsia="宋体"/>
                <w:b w:val="0"/>
                <w:sz w:val="21"/>
              </w:rPr>
              <w:t>高频转场，对转场效率与自重敏感</w:t>
            </w:r>
          </w:p>
        </w:tc>
        <w:tc>
          <w:tcPr>
            <w:tcW w:type="dxa" w:w="1234"/>
          </w:tcPr>
          <w:p>
            <w:pPr>
              <w:jc w:val="center"/>
            </w:pPr>
            <w:r>
              <w:rPr>
                <w:rFonts w:ascii="宋体" w:hAnsi="宋体" w:eastAsia="宋体"/>
                <w:b w:val="0"/>
                <w:sz w:val="21"/>
              </w:rPr>
              <w:t>租赁商访谈</w:t>
            </w:r>
          </w:p>
        </w:tc>
      </w:tr>
      <w:tr>
        <w:tc>
          <w:tcPr>
            <w:tcW w:type="dxa" w:w="1234"/>
          </w:tcPr>
          <w:p>
            <w:pPr>
              <w:jc w:val="center"/>
            </w:pPr>
            <w:r>
              <w:rPr>
                <w:rFonts w:ascii="宋体" w:hAnsi="宋体" w:eastAsia="宋体"/>
                <w:b w:val="0"/>
                <w:sz w:val="21"/>
              </w:rPr>
              <w:t>3</w:t>
            </w:r>
          </w:p>
        </w:tc>
        <w:tc>
          <w:tcPr>
            <w:tcW w:type="dxa" w:w="1234"/>
          </w:tcPr>
          <w:p>
            <w:pPr>
              <w:jc w:val="center"/>
            </w:pPr>
            <w:r>
              <w:rPr>
                <w:rFonts w:ascii="宋体" w:hAnsi="宋体" w:eastAsia="宋体"/>
                <w:b w:val="0"/>
                <w:sz w:val="21"/>
              </w:rPr>
              <w:t>风电安装企业</w:t>
            </w:r>
          </w:p>
        </w:tc>
        <w:tc>
          <w:tcPr>
            <w:tcW w:type="dxa" w:w="1234"/>
          </w:tcPr>
          <w:p>
            <w:pPr>
              <w:jc w:val="center"/>
            </w:pPr>
            <w:r>
              <w:rPr>
                <w:rFonts w:ascii="宋体" w:hAnsi="宋体" w:eastAsia="宋体"/>
                <w:b w:val="0"/>
                <w:sz w:val="21"/>
              </w:rPr>
              <w:t>年新增风电场120个以上</w:t>
            </w:r>
          </w:p>
        </w:tc>
        <w:tc>
          <w:tcPr>
            <w:tcW w:type="dxa" w:w="1234"/>
          </w:tcPr>
          <w:p>
            <w:pPr>
              <w:jc w:val="center"/>
            </w:pPr>
            <w:r>
              <w:rPr>
                <w:rFonts w:ascii="宋体" w:hAnsi="宋体" w:eastAsia="宋体"/>
                <w:b w:val="0"/>
                <w:sz w:val="21"/>
              </w:rPr>
              <w:t>风电检修、叶片更换</w:t>
            </w:r>
          </w:p>
        </w:tc>
        <w:tc>
          <w:tcPr>
            <w:tcW w:type="dxa" w:w="1234"/>
          </w:tcPr>
          <w:p>
            <w:pPr>
              <w:jc w:val="center"/>
            </w:pPr>
            <w:r>
              <w:rPr>
                <w:rFonts w:ascii="宋体" w:hAnsi="宋体" w:eastAsia="宋体"/>
                <w:b w:val="0"/>
                <w:sz w:val="21"/>
              </w:rPr>
              <w:t>18%</w:t>
            </w:r>
          </w:p>
        </w:tc>
        <w:tc>
          <w:tcPr>
            <w:tcW w:type="dxa" w:w="1234"/>
          </w:tcPr>
          <w:p>
            <w:pPr>
              <w:jc w:val="center"/>
            </w:pPr>
            <w:r>
              <w:rPr>
                <w:rFonts w:ascii="宋体" w:hAnsi="宋体" w:eastAsia="宋体"/>
                <w:b w:val="0"/>
                <w:sz w:val="21"/>
              </w:rPr>
              <w:t>需要大臂长与稳定变幅性能</w:t>
            </w:r>
          </w:p>
        </w:tc>
        <w:tc>
          <w:tcPr>
            <w:tcW w:type="dxa" w:w="1234"/>
          </w:tcPr>
          <w:p>
            <w:pPr>
              <w:jc w:val="center"/>
            </w:pPr>
            <w:r>
              <w:rPr>
                <w:rFonts w:ascii="宋体" w:hAnsi="宋体" w:eastAsia="宋体"/>
                <w:b w:val="0"/>
                <w:sz w:val="21"/>
              </w:rPr>
              <w:t>展会调研</w:t>
            </w:r>
          </w:p>
        </w:tc>
      </w:tr>
      <w:tr>
        <w:tc>
          <w:tcPr>
            <w:tcW w:type="dxa" w:w="1234"/>
          </w:tcPr>
          <w:p>
            <w:pPr>
              <w:jc w:val="center"/>
            </w:pPr>
            <w:r>
              <w:rPr>
                <w:rFonts w:ascii="宋体" w:hAnsi="宋体" w:eastAsia="宋体"/>
                <w:b w:val="0"/>
                <w:sz w:val="21"/>
              </w:rPr>
              <w:t>4</w:t>
            </w:r>
          </w:p>
        </w:tc>
        <w:tc>
          <w:tcPr>
            <w:tcW w:type="dxa" w:w="1234"/>
          </w:tcPr>
          <w:p>
            <w:pPr>
              <w:jc w:val="center"/>
            </w:pPr>
            <w:r>
              <w:rPr>
                <w:rFonts w:ascii="宋体" w:hAnsi="宋体" w:eastAsia="宋体"/>
                <w:b w:val="0"/>
                <w:sz w:val="21"/>
              </w:rPr>
              <w:t>基建总包</w:t>
            </w:r>
          </w:p>
        </w:tc>
        <w:tc>
          <w:tcPr>
            <w:tcW w:type="dxa" w:w="1234"/>
          </w:tcPr>
          <w:p>
            <w:pPr>
              <w:jc w:val="center"/>
            </w:pPr>
            <w:r>
              <w:rPr>
                <w:rFonts w:ascii="宋体" w:hAnsi="宋体" w:eastAsia="宋体"/>
                <w:b w:val="0"/>
                <w:sz w:val="21"/>
              </w:rPr>
              <w:t>基建投资年增约8%</w:t>
            </w:r>
          </w:p>
        </w:tc>
        <w:tc>
          <w:tcPr>
            <w:tcW w:type="dxa" w:w="1234"/>
          </w:tcPr>
          <w:p>
            <w:pPr>
              <w:jc w:val="center"/>
            </w:pPr>
            <w:r>
              <w:rPr>
                <w:rFonts w:ascii="宋体" w:hAnsi="宋体" w:eastAsia="宋体"/>
                <w:b w:val="0"/>
                <w:sz w:val="21"/>
              </w:rPr>
              <w:t>基础工程、隧道、港口</w:t>
            </w:r>
          </w:p>
        </w:tc>
        <w:tc>
          <w:tcPr>
            <w:tcW w:type="dxa" w:w="1234"/>
          </w:tcPr>
          <w:p>
            <w:pPr>
              <w:jc w:val="center"/>
            </w:pPr>
            <w:r>
              <w:rPr>
                <w:rFonts w:ascii="宋体" w:hAnsi="宋体" w:eastAsia="宋体"/>
                <w:b w:val="0"/>
                <w:sz w:val="21"/>
              </w:rPr>
              <w:t>15%</w:t>
            </w:r>
          </w:p>
        </w:tc>
        <w:tc>
          <w:tcPr>
            <w:tcW w:type="dxa" w:w="1234"/>
          </w:tcPr>
          <w:p>
            <w:pPr>
              <w:jc w:val="center"/>
            </w:pPr>
            <w:r>
              <w:rPr>
                <w:rFonts w:ascii="宋体" w:hAnsi="宋体" w:eastAsia="宋体"/>
                <w:b w:val="0"/>
                <w:sz w:val="21"/>
              </w:rPr>
              <w:t>关注综合性价比与交付周期</w:t>
            </w:r>
          </w:p>
        </w:tc>
        <w:tc>
          <w:tcPr>
            <w:tcW w:type="dxa" w:w="1234"/>
          </w:tcPr>
          <w:p>
            <w:pPr>
              <w:jc w:val="center"/>
            </w:pPr>
            <w:r>
              <w:rPr>
                <w:rFonts w:ascii="宋体" w:hAnsi="宋体" w:eastAsia="宋体"/>
                <w:b w:val="0"/>
                <w:sz w:val="21"/>
              </w:rPr>
              <w:t>用户座谈会</w:t>
            </w:r>
          </w:p>
        </w:tc>
      </w:tr>
      <w:tr>
        <w:tc>
          <w:tcPr>
            <w:tcW w:type="dxa" w:w="1234"/>
          </w:tcPr>
          <w:p>
            <w:pPr>
              <w:jc w:val="center"/>
            </w:pPr>
            <w:r>
              <w:rPr>
                <w:rFonts w:ascii="宋体" w:hAnsi="宋体" w:eastAsia="宋体"/>
                <w:b w:val="0"/>
                <w:sz w:val="21"/>
              </w:rPr>
              <w:t>5</w:t>
            </w:r>
          </w:p>
        </w:tc>
        <w:tc>
          <w:tcPr>
            <w:tcW w:type="dxa" w:w="1234"/>
          </w:tcPr>
          <w:p>
            <w:pPr>
              <w:jc w:val="center"/>
            </w:pPr>
            <w:r>
              <w:rPr>
                <w:rFonts w:ascii="宋体" w:hAnsi="宋体" w:eastAsia="宋体"/>
                <w:b w:val="0"/>
                <w:sz w:val="21"/>
              </w:rPr>
              <w:t>其他</w:t>
            </w:r>
          </w:p>
        </w:tc>
        <w:tc>
          <w:tcPr>
            <w:tcW w:type="dxa" w:w="1234"/>
          </w:tcPr>
          <w:p>
            <w:pPr>
              <w:jc w:val="center"/>
            </w:pPr>
            <w:r>
              <w:rPr>
                <w:rFonts w:ascii="宋体" w:hAnsi="宋体" w:eastAsia="宋体"/>
                <w:b w:val="0"/>
                <w:sz w:val="21"/>
              </w:rPr>
              <w:t>—</w:t>
            </w:r>
          </w:p>
        </w:tc>
        <w:tc>
          <w:tcPr>
            <w:tcW w:type="dxa" w:w="1234"/>
          </w:tcPr>
          <w:p>
            <w:pPr>
              <w:jc w:val="center"/>
            </w:pPr>
            <w:r>
              <w:rPr>
                <w:rFonts w:ascii="宋体" w:hAnsi="宋体" w:eastAsia="宋体"/>
                <w:b w:val="0"/>
                <w:sz w:val="21"/>
              </w:rPr>
              <w:t>市政、抢险等</w:t>
            </w:r>
          </w:p>
        </w:tc>
        <w:tc>
          <w:tcPr>
            <w:tcW w:type="dxa" w:w="1234"/>
          </w:tcPr>
          <w:p>
            <w:pPr>
              <w:jc w:val="center"/>
            </w:pPr>
            <w:r>
              <w:rPr>
                <w:rFonts w:ascii="宋体" w:hAnsi="宋体" w:eastAsia="宋体"/>
                <w:b w:val="0"/>
                <w:sz w:val="21"/>
              </w:rPr>
              <w:t>12%</w:t>
            </w:r>
          </w:p>
        </w:tc>
        <w:tc>
          <w:tcPr>
            <w:tcW w:type="dxa" w:w="1234"/>
          </w:tcPr>
          <w:p>
            <w:pPr>
              <w:jc w:val="center"/>
            </w:pPr>
            <w:r>
              <w:rPr>
                <w:rFonts w:ascii="宋体" w:hAnsi="宋体" w:eastAsia="宋体"/>
                <w:b w:val="0"/>
                <w:sz w:val="21"/>
              </w:rPr>
              <w:t>通用性要求高</w:t>
            </w:r>
          </w:p>
        </w:tc>
        <w:tc>
          <w:tcPr>
            <w:tcW w:type="dxa" w:w="1234"/>
          </w:tcPr>
          <w:p>
            <w:pPr>
              <w:jc w:val="center"/>
            </w:pPr>
            <w:r>
              <w:rPr>
                <w:rFonts w:ascii="宋体" w:hAnsi="宋体" w:eastAsia="宋体"/>
                <w:b w:val="0"/>
                <w:sz w:val="21"/>
              </w:rPr>
              <w:t>售后数据分析</w:t>
            </w:r>
          </w:p>
        </w:tc>
      </w:tr>
    </w:tbl>
    <w:p>
      <w:pPr>
        <w:jc w:val="center"/>
      </w:pPr>
      <w:r>
        <w:drawing>
          <wp:inline xmlns:a="http://schemas.openxmlformats.org/drawingml/2006/main" xmlns:pic="http://schemas.openxmlformats.org/drawingml/2006/picture">
            <wp:extent cx="5040000" cy="4864770"/>
            <wp:docPr id="1" name="Picture 1"/>
            <wp:cNvGraphicFramePr>
              <a:graphicFrameLocks noChangeAspect="1"/>
            </wp:cNvGraphicFramePr>
            <a:graphic>
              <a:graphicData uri="http://schemas.openxmlformats.org/drawingml/2006/picture">
                <pic:pic>
                  <pic:nvPicPr>
                    <pic:cNvPr id="0" name="market_condition_pie.png"/>
                    <pic:cNvPicPr/>
                  </pic:nvPicPr>
                  <pic:blipFill>
                    <a:blip r:embed="rId9"/>
                    <a:stretch>
                      <a:fillRect/>
                    </a:stretch>
                  </pic:blipFill>
                  <pic:spPr>
                    <a:xfrm>
                      <a:off x="0" y="0"/>
                      <a:ext cx="5040000" cy="4864770"/>
                    </a:xfrm>
                    <a:prstGeom prst="rect"/>
                  </pic:spPr>
                </pic:pic>
              </a:graphicData>
            </a:graphic>
          </wp:inline>
        </w:drawing>
      </w:r>
    </w:p>
    <w:p>
      <w:pPr>
        <w:jc w:val="center"/>
      </w:pPr>
      <w:r>
        <w:rPr>
          <w:rFonts w:ascii="黑体" w:hAnsi="黑体" w:eastAsia="黑体"/>
          <w:b w:val="0"/>
          <w:sz w:val="21"/>
        </w:rPr>
        <w:t>图 1 工况分布占比</w:t>
      </w:r>
    </w:p>
    <w:p>
      <w:pPr>
        <w:spacing w:line="240" w:lineRule="auto" w:before="160" w:after="160"/>
      </w:pPr>
      <w:r>
        <w:rPr>
          <w:rFonts w:ascii="黑体" w:hAnsi="黑体" w:eastAsia="黑体"/>
          <w:b w:val="0"/>
          <w:sz w:val="24"/>
        </w:rPr>
        <w:t>新产品开发建议</w:t>
      </w:r>
    </w:p>
    <w:p>
      <w:pPr>
        <w:spacing w:line="360" w:lineRule="auto"/>
        <w:ind w:firstLineChars="200"/>
        <w:jc w:val="both"/>
      </w:pPr>
      <w:r>
        <w:rPr>
          <w:rFonts w:ascii="宋体" w:hAnsi="宋体" w:eastAsia="宋体"/>
          <w:b w:val="0"/>
          <w:sz w:val="24"/>
        </w:rPr>
        <w:t>结合调研结论，本项目围绕用户反映最集中的臂架性能、转场效率与安全可靠性提出开发建议，具体见表 3。臂架系统方面，主臂采用五节 U 型截面并将全伸臂长提升至 58m，目标最大起重力矩不低于 3200 kN·m；液压系统配置负载敏感多路阀，将起升微动速度控制在 0.05 m/s 以内；安全系统标配力矩限制器与臂架角度传感器，过载保护精度达 ±5%。经济性方面，目标整车物料成本控制在 118 万元（未税）以下，以支撑终端售价约 196 万元（含税）的定价空间；同时预留远程诊断与 GPS 定位接口、支持 CAN 总线扩展，为智能化升级留出空间。上述建议将作为项目立项（2026-08）至方案冻结（2026-11）阶段详细设计的主要输入。</w:t>
      </w:r>
    </w:p>
    <w:p>
      <w:pPr>
        <w:jc w:val="center"/>
      </w:pPr>
      <w:r>
        <w:rPr>
          <w:rFonts w:ascii="宋体" w:hAnsi="宋体" w:eastAsia="宋体"/>
          <w:b/>
          <w:sz w:val="21"/>
        </w:rPr>
        <w:t>表 3 新产品开发建议表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sz w:val="21"/>
              </w:rPr>
              <w:t>序号</w:t>
            </w:r>
          </w:p>
        </w:tc>
        <w:tc>
          <w:tcPr>
            <w:tcW w:type="dxa" w:w="1728"/>
          </w:tcPr>
          <w:p>
            <w:pPr>
              <w:jc w:val="center"/>
            </w:pPr>
            <w:r>
              <w:rPr>
                <w:rFonts w:ascii="宋体" w:hAnsi="宋体" w:eastAsia="宋体"/>
                <w:b/>
                <w:sz w:val="21"/>
              </w:rPr>
              <w:t>类别</w:t>
            </w:r>
          </w:p>
        </w:tc>
        <w:tc>
          <w:tcPr>
            <w:tcW w:type="dxa" w:w="1728"/>
          </w:tcPr>
          <w:p>
            <w:pPr>
              <w:jc w:val="center"/>
            </w:pPr>
            <w:r>
              <w:rPr>
                <w:rFonts w:ascii="宋体" w:hAnsi="宋体" w:eastAsia="宋体"/>
                <w:b/>
                <w:sz w:val="21"/>
              </w:rPr>
              <w:t>新产品开发建议</w:t>
            </w:r>
          </w:p>
        </w:tc>
        <w:tc>
          <w:tcPr>
            <w:tcW w:type="dxa" w:w="1728"/>
          </w:tcPr>
          <w:p>
            <w:pPr>
              <w:jc w:val="center"/>
            </w:pPr>
            <w:r>
              <w:rPr>
                <w:rFonts w:ascii="宋体" w:hAnsi="宋体" w:eastAsia="宋体"/>
                <w:b/>
                <w:sz w:val="21"/>
              </w:rPr>
              <w:t>产品规划输出值</w:t>
            </w:r>
          </w:p>
        </w:tc>
        <w:tc>
          <w:tcPr>
            <w:tcW w:type="dxa" w:w="1728"/>
          </w:tcPr>
          <w:p>
            <w:pPr>
              <w:jc w:val="center"/>
            </w:pPr>
            <w:r>
              <w:rPr>
                <w:rFonts w:ascii="宋体" w:hAnsi="宋体" w:eastAsia="宋体"/>
                <w:b/>
                <w:sz w:val="21"/>
              </w:rPr>
              <w:t>备注</w:t>
            </w:r>
          </w:p>
        </w:tc>
      </w:tr>
      <w:tr>
        <w:tc>
          <w:tcPr>
            <w:tcW w:type="dxa" w:w="1728"/>
          </w:tcPr>
          <w:p>
            <w:pPr>
              <w:jc w:val="center"/>
            </w:pPr>
            <w:r>
              <w:rPr>
                <w:rFonts w:ascii="宋体" w:hAnsi="宋体" w:eastAsia="宋体"/>
                <w:b w:val="0"/>
                <w:sz w:val="21"/>
              </w:rPr>
              <w:t>1</w:t>
            </w:r>
          </w:p>
        </w:tc>
        <w:tc>
          <w:tcPr>
            <w:tcW w:type="dxa" w:w="1728"/>
          </w:tcPr>
          <w:p>
            <w:pPr>
              <w:jc w:val="center"/>
            </w:pPr>
            <w:r>
              <w:rPr>
                <w:rFonts w:ascii="宋体" w:hAnsi="宋体" w:eastAsia="宋体"/>
                <w:b w:val="0"/>
                <w:sz w:val="21"/>
              </w:rPr>
              <w:t>臂架系统</w:t>
            </w:r>
          </w:p>
        </w:tc>
        <w:tc>
          <w:tcPr>
            <w:tcW w:type="dxa" w:w="1728"/>
          </w:tcPr>
          <w:p>
            <w:pPr>
              <w:jc w:val="center"/>
            </w:pPr>
            <w:r>
              <w:rPr>
                <w:rFonts w:ascii="宋体" w:hAnsi="宋体" w:eastAsia="宋体"/>
                <w:b w:val="0"/>
                <w:sz w:val="21"/>
              </w:rPr>
              <w:t>主臂采用五节U型截面，全伸臂长提升至58m</w:t>
            </w:r>
          </w:p>
        </w:tc>
        <w:tc>
          <w:tcPr>
            <w:tcW w:type="dxa" w:w="1728"/>
          </w:tcPr>
          <w:p>
            <w:pPr>
              <w:jc w:val="center"/>
            </w:pPr>
            <w:r>
              <w:rPr>
                <w:rFonts w:ascii="宋体" w:hAnsi="宋体" w:eastAsia="宋体"/>
                <w:b w:val="0"/>
                <w:sz w:val="21"/>
              </w:rPr>
              <w:t>最大起重力矩≥3200 kN·m</w:t>
            </w:r>
          </w:p>
        </w:tc>
        <w:tc>
          <w:tcPr>
            <w:tcW w:type="dxa" w:w="1728"/>
          </w:tcPr>
          <w:p>
            <w:pPr>
              <w:jc w:val="center"/>
            </w:pPr>
            <w:r>
              <w:rPr>
                <w:rFonts w:ascii="宋体" w:hAnsi="宋体" w:eastAsia="宋体"/>
                <w:b w:val="0"/>
                <w:sz w:val="21"/>
              </w:rPr>
            </w:r>
          </w:p>
        </w:tc>
      </w:tr>
      <w:tr>
        <w:tc>
          <w:tcPr>
            <w:tcW w:type="dxa" w:w="1728"/>
          </w:tcPr>
          <w:p>
            <w:pPr>
              <w:jc w:val="center"/>
            </w:pPr>
            <w:r>
              <w:rPr>
                <w:rFonts w:ascii="宋体" w:hAnsi="宋体" w:eastAsia="宋体"/>
                <w:b w:val="0"/>
                <w:sz w:val="21"/>
              </w:rPr>
              <w:t>2</w:t>
            </w:r>
          </w:p>
        </w:tc>
        <w:tc>
          <w:tcPr>
            <w:tcW w:type="dxa" w:w="1728"/>
          </w:tcPr>
          <w:p>
            <w:pPr>
              <w:jc w:val="center"/>
            </w:pPr>
            <w:r>
              <w:rPr>
                <w:rFonts w:ascii="宋体" w:hAnsi="宋体" w:eastAsia="宋体"/>
                <w:b w:val="0"/>
                <w:sz w:val="21"/>
              </w:rPr>
              <w:t>液压系统</w:t>
            </w:r>
          </w:p>
        </w:tc>
        <w:tc>
          <w:tcPr>
            <w:tcW w:type="dxa" w:w="1728"/>
          </w:tcPr>
          <w:p>
            <w:pPr>
              <w:jc w:val="center"/>
            </w:pPr>
            <w:r>
              <w:rPr>
                <w:rFonts w:ascii="宋体" w:hAnsi="宋体" w:eastAsia="宋体"/>
                <w:b w:val="0"/>
                <w:sz w:val="21"/>
              </w:rPr>
              <w:t>配置负载敏感多路阀，提升微动性能</w:t>
            </w:r>
          </w:p>
        </w:tc>
        <w:tc>
          <w:tcPr>
            <w:tcW w:type="dxa" w:w="1728"/>
          </w:tcPr>
          <w:p>
            <w:pPr>
              <w:jc w:val="center"/>
            </w:pPr>
            <w:r>
              <w:rPr>
                <w:rFonts w:ascii="宋体" w:hAnsi="宋体" w:eastAsia="宋体"/>
                <w:b w:val="0"/>
                <w:sz w:val="21"/>
              </w:rPr>
              <w:t>起升微动速度≤0.05 m/s</w:t>
            </w:r>
          </w:p>
        </w:tc>
        <w:tc>
          <w:tcPr>
            <w:tcW w:type="dxa" w:w="1728"/>
          </w:tcPr>
          <w:p>
            <w:pPr>
              <w:jc w:val="center"/>
            </w:pPr>
            <w:r>
              <w:rPr>
                <w:rFonts w:ascii="宋体" w:hAnsi="宋体" w:eastAsia="宋体"/>
                <w:b w:val="0"/>
                <w:sz w:val="21"/>
              </w:rPr>
            </w:r>
          </w:p>
        </w:tc>
      </w:tr>
      <w:tr>
        <w:tc>
          <w:tcPr>
            <w:tcW w:type="dxa" w:w="1728"/>
          </w:tcPr>
          <w:p>
            <w:pPr>
              <w:jc w:val="center"/>
            </w:pPr>
            <w:r>
              <w:rPr>
                <w:rFonts w:ascii="宋体" w:hAnsi="宋体" w:eastAsia="宋体"/>
                <w:b w:val="0"/>
                <w:sz w:val="21"/>
              </w:rPr>
              <w:t>3</w:t>
            </w:r>
          </w:p>
        </w:tc>
        <w:tc>
          <w:tcPr>
            <w:tcW w:type="dxa" w:w="1728"/>
          </w:tcPr>
          <w:p>
            <w:pPr>
              <w:jc w:val="center"/>
            </w:pPr>
            <w:r>
              <w:rPr>
                <w:rFonts w:ascii="宋体" w:hAnsi="宋体" w:eastAsia="宋体"/>
                <w:b w:val="0"/>
                <w:sz w:val="21"/>
              </w:rPr>
              <w:t>安全系统</w:t>
            </w:r>
          </w:p>
        </w:tc>
        <w:tc>
          <w:tcPr>
            <w:tcW w:type="dxa" w:w="1728"/>
          </w:tcPr>
          <w:p>
            <w:pPr>
              <w:jc w:val="center"/>
            </w:pPr>
            <w:r>
              <w:rPr>
                <w:rFonts w:ascii="宋体" w:hAnsi="宋体" w:eastAsia="宋体"/>
                <w:b w:val="0"/>
                <w:sz w:val="21"/>
              </w:rPr>
              <w:t>标配力矩限制器与臂架角度传感器</w:t>
            </w:r>
          </w:p>
        </w:tc>
        <w:tc>
          <w:tcPr>
            <w:tcW w:type="dxa" w:w="1728"/>
          </w:tcPr>
          <w:p>
            <w:pPr>
              <w:jc w:val="center"/>
            </w:pPr>
            <w:r>
              <w:rPr>
                <w:rFonts w:ascii="宋体" w:hAnsi="宋体" w:eastAsia="宋体"/>
                <w:b w:val="0"/>
                <w:sz w:val="21"/>
              </w:rPr>
              <w:t>过载保护精度±5%</w:t>
            </w:r>
          </w:p>
        </w:tc>
        <w:tc>
          <w:tcPr>
            <w:tcW w:type="dxa" w:w="1728"/>
          </w:tcPr>
          <w:p>
            <w:pPr>
              <w:jc w:val="center"/>
            </w:pPr>
            <w:r>
              <w:rPr>
                <w:rFonts w:ascii="宋体" w:hAnsi="宋体" w:eastAsia="宋体"/>
                <w:b w:val="0"/>
                <w:sz w:val="21"/>
              </w:rPr>
            </w:r>
          </w:p>
        </w:tc>
      </w:tr>
      <w:tr>
        <w:tc>
          <w:tcPr>
            <w:tcW w:type="dxa" w:w="1728"/>
          </w:tcPr>
          <w:p>
            <w:pPr>
              <w:jc w:val="center"/>
            </w:pPr>
            <w:r>
              <w:rPr>
                <w:rFonts w:ascii="宋体" w:hAnsi="宋体" w:eastAsia="宋体"/>
                <w:b w:val="0"/>
                <w:sz w:val="21"/>
              </w:rPr>
              <w:t>4</w:t>
            </w:r>
          </w:p>
        </w:tc>
        <w:tc>
          <w:tcPr>
            <w:tcW w:type="dxa" w:w="1728"/>
          </w:tcPr>
          <w:p>
            <w:pPr>
              <w:jc w:val="center"/>
            </w:pPr>
            <w:r>
              <w:rPr>
                <w:rFonts w:ascii="宋体" w:hAnsi="宋体" w:eastAsia="宋体"/>
                <w:b w:val="0"/>
                <w:sz w:val="21"/>
              </w:rPr>
              <w:t>经济性</w:t>
            </w:r>
          </w:p>
        </w:tc>
        <w:tc>
          <w:tcPr>
            <w:tcW w:type="dxa" w:w="1728"/>
          </w:tcPr>
          <w:p>
            <w:pPr>
              <w:jc w:val="center"/>
            </w:pPr>
            <w:r>
              <w:rPr>
                <w:rFonts w:ascii="宋体" w:hAnsi="宋体" w:eastAsia="宋体"/>
                <w:b w:val="0"/>
                <w:sz w:val="21"/>
              </w:rPr>
              <w:t>目标物料成本控制在118万元以下</w:t>
            </w:r>
          </w:p>
        </w:tc>
        <w:tc>
          <w:tcPr>
            <w:tcW w:type="dxa" w:w="1728"/>
          </w:tcPr>
          <w:p>
            <w:pPr>
              <w:jc w:val="center"/>
            </w:pPr>
            <w:r>
              <w:rPr>
                <w:rFonts w:ascii="宋体" w:hAnsi="宋体" w:eastAsia="宋体"/>
                <w:b w:val="0"/>
                <w:sz w:val="21"/>
              </w:rPr>
              <w:t>整车物料成本≤118万</w:t>
            </w:r>
          </w:p>
        </w:tc>
        <w:tc>
          <w:tcPr>
            <w:tcW w:type="dxa" w:w="1728"/>
          </w:tcPr>
          <w:p>
            <w:pPr>
              <w:jc w:val="center"/>
            </w:pPr>
            <w:r>
              <w:rPr>
                <w:rFonts w:ascii="宋体" w:hAnsi="宋体" w:eastAsia="宋体"/>
                <w:b w:val="0"/>
                <w:sz w:val="21"/>
              </w:rPr>
            </w:r>
          </w:p>
        </w:tc>
      </w:tr>
      <w:tr>
        <w:tc>
          <w:tcPr>
            <w:tcW w:type="dxa" w:w="1728"/>
          </w:tcPr>
          <w:p>
            <w:pPr>
              <w:jc w:val="center"/>
            </w:pPr>
            <w:r>
              <w:rPr>
                <w:rFonts w:ascii="宋体" w:hAnsi="宋体" w:eastAsia="宋体"/>
                <w:b w:val="0"/>
                <w:sz w:val="21"/>
              </w:rPr>
              <w:t>5</w:t>
            </w:r>
          </w:p>
        </w:tc>
        <w:tc>
          <w:tcPr>
            <w:tcW w:type="dxa" w:w="1728"/>
          </w:tcPr>
          <w:p>
            <w:pPr>
              <w:jc w:val="center"/>
            </w:pPr>
            <w:r>
              <w:rPr>
                <w:rFonts w:ascii="宋体" w:hAnsi="宋体" w:eastAsia="宋体"/>
                <w:b w:val="0"/>
                <w:sz w:val="21"/>
              </w:rPr>
              <w:t>智能化</w:t>
            </w:r>
          </w:p>
        </w:tc>
        <w:tc>
          <w:tcPr>
            <w:tcW w:type="dxa" w:w="1728"/>
          </w:tcPr>
          <w:p>
            <w:pPr>
              <w:jc w:val="center"/>
            </w:pPr>
            <w:r>
              <w:rPr>
                <w:rFonts w:ascii="宋体" w:hAnsi="宋体" w:eastAsia="宋体"/>
                <w:b w:val="0"/>
                <w:sz w:val="21"/>
              </w:rPr>
              <w:t>预留远程诊断与GPS定位接口</w:t>
            </w:r>
          </w:p>
        </w:tc>
        <w:tc>
          <w:tcPr>
            <w:tcW w:type="dxa" w:w="1728"/>
          </w:tcPr>
          <w:p>
            <w:pPr>
              <w:jc w:val="center"/>
            </w:pPr>
            <w:r>
              <w:rPr>
                <w:rFonts w:ascii="宋体" w:hAnsi="宋体" w:eastAsia="宋体"/>
                <w:b w:val="0"/>
                <w:sz w:val="21"/>
              </w:rPr>
              <w:t>支持CAN总线扩展</w:t>
            </w:r>
          </w:p>
        </w:tc>
        <w:tc>
          <w:tcPr>
            <w:tcW w:type="dxa" w:w="1728"/>
          </w:tcPr>
          <w:p>
            <w:pPr>
              <w:jc w:val="center"/>
            </w:pPr>
            <w:r>
              <w:rPr>
                <w:rFonts w:ascii="宋体" w:hAnsi="宋体" w:eastAsia="宋体"/>
                <w:b w:val="0"/>
                <w:sz w:val="21"/>
              </w:rPr>
            </w:r>
          </w:p>
        </w:tc>
      </w:tr>
    </w:tbl>
    <w:p>
      <w:pPr>
        <w:jc w:val="center"/>
      </w:pPr>
      <w:r>
        <w:drawing>
          <wp:inline xmlns:a="http://schemas.openxmlformats.org/drawingml/2006/main" xmlns:pic="http://schemas.openxmlformats.org/drawingml/2006/picture">
            <wp:extent cx="5040000" cy="3381818"/>
            <wp:docPr id="2" name="Picture 2"/>
            <wp:cNvGraphicFramePr>
              <a:graphicFrameLocks noChangeAspect="1"/>
            </wp:cNvGraphicFramePr>
            <a:graphic>
              <a:graphicData uri="http://schemas.openxmlformats.org/drawingml/2006/picture">
                <pic:pic>
                  <pic:nvPicPr>
                    <pic:cNvPr id="0" name="market_capacity_bar.png"/>
                    <pic:cNvPicPr/>
                  </pic:nvPicPr>
                  <pic:blipFill>
                    <a:blip r:embed="rId10"/>
                    <a:stretch>
                      <a:fillRect/>
                    </a:stretch>
                  </pic:blipFill>
                  <pic:spPr>
                    <a:xfrm>
                      <a:off x="0" y="0"/>
                      <a:ext cx="5040000" cy="3381818"/>
                    </a:xfrm>
                    <a:prstGeom prst="rect"/>
                  </pic:spPr>
                </pic:pic>
              </a:graphicData>
            </a:graphic>
          </wp:inline>
        </w:drawing>
      </w:r>
    </w:p>
    <w:p>
      <w:pPr>
        <w:jc w:val="center"/>
      </w:pPr>
      <w:r>
        <w:rPr>
          <w:rFonts w:ascii="黑体" w:hAnsi="黑体" w:eastAsia="黑体"/>
          <w:b w:val="0"/>
          <w:sz w:val="21"/>
        </w:rPr>
        <w:t>图 2 区域市场容量</w:t>
      </w:r>
    </w:p>
    <w:p>
      <w:pPr>
        <w:spacing w:line="240" w:lineRule="auto" w:before="160" w:after="160"/>
      </w:pPr>
      <w:r>
        <w:rPr>
          <w:rFonts w:ascii="黑体" w:hAnsi="黑体" w:eastAsia="黑体"/>
          <w:b w:val="0"/>
          <w:sz w:val="24"/>
        </w:rPr>
        <w:t>其他说明</w:t>
      </w:r>
    </w:p>
    <w:p>
      <w:pPr>
        <w:spacing w:line="360" w:lineRule="auto"/>
        <w:ind w:firstLineChars="200"/>
        <w:jc w:val="both"/>
      </w:pPr>
      <w:r>
        <w:rPr>
          <w:rFonts w:ascii="宋体" w:hAnsi="宋体" w:eastAsia="宋体"/>
          <w:b w:val="0"/>
          <w:sz w:val="24"/>
        </w:rPr>
        <w:t>本报告数据为内部模拟调研数据，用于支持 XCT80L7 臂架优化项目的方案论证与市场判断，不作为对外经营统计。调研样本合计 40 家，覆盖五大区域，受时间与资源限制样本代表性存在一定局限，其中华中区域以近 3 年售后数据补充。报告中的市场需求容量、工况占比与竞品份额均为测算估计值，后续应由营销与商务部门结合实际销售数据进一步校核后用于投资与定价决策。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