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val="0"/>
          <w:sz w:val="24"/>
        </w:rPr>
        <w:t>产品名称：XCT80L7 型汽车起重机</w:t>
      </w:r>
    </w:p>
    <w:p>
      <w:pPr>
        <w:jc w:val="center"/>
      </w:pPr>
      <w:r>
        <w:rPr>
          <w:rFonts w:ascii="宋体" w:hAnsi="宋体" w:eastAsia="宋体"/>
          <w:b w:val="0"/>
          <w:sz w:val="24"/>
        </w:rPr>
        <w:t>项目名称：80t 汽车起重机臂架优化项目</w:t>
      </w:r>
    </w:p>
    <w:p>
      <w:pPr>
        <w:jc w:val="center"/>
      </w:pPr>
      <w:r>
        <w:rPr>
          <w:rFonts w:ascii="宋体" w:hAnsi="宋体" w:eastAsia="宋体"/>
          <w:b w:val="0"/>
          <w:sz w:val="24"/>
        </w:rPr>
        <w:t>项目编号：XG-ZX-2026-042</w:t>
      </w:r>
    </w:p>
    <w:p/>
    <w:p>
      <w:pPr>
        <w:jc w:val="center"/>
      </w:pPr>
      <w:r>
        <w:rPr>
          <w:rFonts w:ascii="黑体" w:hAnsi="黑体" w:eastAsia="黑体"/>
          <w:b/>
          <w:sz w:val="32"/>
        </w:rPr>
        <w:t>技术调研报告</w:t>
      </w:r>
    </w:p>
    <w:p/>
    <w:p>
      <w:pPr>
        <w:spacing w:line="240" w:lineRule="auto" w:before="160" w:after="160"/>
      </w:pPr>
      <w:r>
        <w:rPr>
          <w:rFonts w:ascii="黑体" w:hAnsi="黑体" w:eastAsia="黑体"/>
          <w:b w:val="0"/>
          <w:sz w:val="24"/>
        </w:rPr>
        <w:t>调研信息</w:t>
      </w:r>
    </w:p>
    <w:p>
      <w:pPr>
        <w:jc w:val="center"/>
      </w:pPr>
      <w:r>
        <w:rPr>
          <w:rFonts w:ascii="宋体" w:hAnsi="宋体" w:eastAsia="宋体"/>
          <w:b/>
          <w:sz w:val="21"/>
        </w:rPr>
        <w:t>表 1 调研信息表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序号</w:t>
            </w:r>
          </w:p>
        </w:tc>
        <w:tc>
          <w:tcPr>
            <w:tcW w:type="dxa" w:w="1440"/>
          </w:tcPr>
          <w:p>
            <w:pPr>
              <w:jc w:val="center"/>
            </w:pPr>
            <w:r>
              <w:rPr>
                <w:rFonts w:ascii="宋体" w:hAnsi="宋体" w:eastAsia="宋体"/>
                <w:b/>
                <w:sz w:val="21"/>
              </w:rPr>
              <w:t>调研区域</w:t>
            </w:r>
          </w:p>
        </w:tc>
        <w:tc>
          <w:tcPr>
            <w:tcW w:type="dxa" w:w="1440"/>
          </w:tcPr>
          <w:p>
            <w:pPr>
              <w:jc w:val="center"/>
            </w:pPr>
            <w:r>
              <w:rPr>
                <w:rFonts w:ascii="宋体" w:hAnsi="宋体" w:eastAsia="宋体"/>
                <w:b/>
                <w:sz w:val="21"/>
              </w:rPr>
              <w:t>调研方法、途径</w:t>
            </w:r>
          </w:p>
        </w:tc>
        <w:tc>
          <w:tcPr>
            <w:tcW w:type="dxa" w:w="1440"/>
          </w:tcPr>
          <w:p>
            <w:pPr>
              <w:jc w:val="center"/>
            </w:pPr>
            <w:r>
              <w:rPr>
                <w:rFonts w:ascii="宋体" w:hAnsi="宋体" w:eastAsia="宋体"/>
                <w:b/>
                <w:sz w:val="21"/>
              </w:rPr>
              <w:t>调研对象</w:t>
            </w:r>
          </w:p>
        </w:tc>
        <w:tc>
          <w:tcPr>
            <w:tcW w:type="dxa" w:w="1440"/>
          </w:tcPr>
          <w:p>
            <w:pPr>
              <w:jc w:val="center"/>
            </w:pPr>
            <w:r>
              <w:rPr>
                <w:rFonts w:ascii="宋体" w:hAnsi="宋体" w:eastAsia="宋体"/>
                <w:b/>
                <w:sz w:val="21"/>
              </w:rPr>
              <w:t>调研任务</w:t>
            </w:r>
          </w:p>
        </w:tc>
        <w:tc>
          <w:tcPr>
            <w:tcW w:type="dxa" w:w="1440"/>
          </w:tcPr>
          <w:p>
            <w:pPr>
              <w:jc w:val="center"/>
            </w:pPr>
            <w:r>
              <w:rPr>
                <w:rFonts w:ascii="宋体" w:hAnsi="宋体" w:eastAsia="宋体"/>
                <w:b/>
                <w:sz w:val="21"/>
              </w:rPr>
              <w:t>备注</w:t>
            </w:r>
          </w:p>
        </w:tc>
      </w:tr>
      <w:tr>
        <w:tc>
          <w:tcPr>
            <w:tcW w:type="dxa" w:w="1440"/>
          </w:tcPr>
          <w:p>
            <w:pPr>
              <w:jc w:val="center"/>
            </w:pPr>
            <w:r>
              <w:rPr>
                <w:rFonts w:ascii="宋体" w:hAnsi="宋体" w:eastAsia="宋体"/>
                <w:b w:val="0"/>
                <w:sz w:val="21"/>
              </w:rPr>
              <w:t>1</w:t>
            </w:r>
          </w:p>
        </w:tc>
        <w:tc>
          <w:tcPr>
            <w:tcW w:type="dxa" w:w="1440"/>
          </w:tcPr>
          <w:p>
            <w:pPr>
              <w:jc w:val="center"/>
            </w:pPr>
            <w:r>
              <w:rPr>
                <w:rFonts w:ascii="宋体" w:hAnsi="宋体" w:eastAsia="宋体"/>
                <w:b w:val="0"/>
                <w:sz w:val="21"/>
              </w:rPr>
              <w:t>国外主机厂（欧、日韩）</w:t>
            </w:r>
          </w:p>
        </w:tc>
        <w:tc>
          <w:tcPr>
            <w:tcW w:type="dxa" w:w="1440"/>
          </w:tcPr>
          <w:p>
            <w:pPr>
              <w:jc w:val="center"/>
            </w:pPr>
            <w:r>
              <w:rPr>
                <w:rFonts w:ascii="宋体" w:hAnsi="宋体" w:eastAsia="宋体"/>
                <w:b w:val="0"/>
                <w:sz w:val="21"/>
              </w:rPr>
              <w:t>样机拆解测绘、技术资料、代理商访谈</w:t>
            </w:r>
          </w:p>
        </w:tc>
        <w:tc>
          <w:tcPr>
            <w:tcW w:type="dxa" w:w="1440"/>
          </w:tcPr>
          <w:p>
            <w:pPr>
              <w:jc w:val="center"/>
            </w:pPr>
            <w:r>
              <w:rPr>
                <w:rFonts w:ascii="宋体" w:hAnsi="宋体" w:eastAsia="宋体"/>
                <w:b w:val="0"/>
                <w:sz w:val="21"/>
              </w:rPr>
              <w:t>利勃海尔、德马格、神钢等 6 家厂商</w:t>
            </w:r>
          </w:p>
        </w:tc>
        <w:tc>
          <w:tcPr>
            <w:tcW w:type="dxa" w:w="1440"/>
          </w:tcPr>
          <w:p>
            <w:pPr>
              <w:jc w:val="center"/>
            </w:pPr>
            <w:r>
              <w:rPr>
                <w:rFonts w:ascii="宋体" w:hAnsi="宋体" w:eastAsia="宋体"/>
                <w:b w:val="0"/>
                <w:sz w:val="21"/>
              </w:rPr>
              <w:t>调研主臂截面形式、臂头结构与高强钢应用现状</w:t>
            </w:r>
          </w:p>
        </w:tc>
        <w:tc>
          <w:tcPr>
            <w:tcW w:type="dxa" w:w="1440"/>
          </w:tcPr>
          <w:p>
            <w:pPr>
              <w:jc w:val="center"/>
            </w:pPr>
            <w:r>
              <w:rPr>
                <w:rFonts w:ascii="宋体" w:hAnsi="宋体" w:eastAsia="宋体"/>
                <w:b w:val="0"/>
                <w:sz w:val="21"/>
              </w:rPr>
              <w:t>样本6家</w:t>
            </w:r>
          </w:p>
        </w:tc>
      </w:tr>
      <w:tr>
        <w:tc>
          <w:tcPr>
            <w:tcW w:type="dxa" w:w="1440"/>
          </w:tcPr>
          <w:p>
            <w:pPr>
              <w:jc w:val="center"/>
            </w:pPr>
            <w:r>
              <w:rPr>
                <w:rFonts w:ascii="宋体" w:hAnsi="宋体" w:eastAsia="宋体"/>
                <w:b w:val="0"/>
                <w:sz w:val="21"/>
              </w:rPr>
              <w:t>2</w:t>
            </w:r>
          </w:p>
        </w:tc>
        <w:tc>
          <w:tcPr>
            <w:tcW w:type="dxa" w:w="1440"/>
          </w:tcPr>
          <w:p>
            <w:pPr>
              <w:jc w:val="center"/>
            </w:pPr>
            <w:r>
              <w:rPr>
                <w:rFonts w:ascii="宋体" w:hAnsi="宋体" w:eastAsia="宋体"/>
                <w:b w:val="0"/>
                <w:sz w:val="21"/>
              </w:rPr>
              <w:t>国内主机厂（三一、中联、徐工）</w:t>
            </w:r>
          </w:p>
        </w:tc>
        <w:tc>
          <w:tcPr>
            <w:tcW w:type="dxa" w:w="1440"/>
          </w:tcPr>
          <w:p>
            <w:pPr>
              <w:jc w:val="center"/>
            </w:pPr>
            <w:r>
              <w:rPr>
                <w:rFonts w:ascii="宋体" w:hAnsi="宋体" w:eastAsia="宋体"/>
                <w:b w:val="0"/>
                <w:sz w:val="21"/>
              </w:rPr>
              <w:t>竞品样机对比测试、公开资料分析</w:t>
            </w:r>
          </w:p>
        </w:tc>
        <w:tc>
          <w:tcPr>
            <w:tcW w:type="dxa" w:w="1440"/>
          </w:tcPr>
          <w:p>
            <w:pPr>
              <w:jc w:val="center"/>
            </w:pPr>
            <w:r>
              <w:rPr>
                <w:rFonts w:ascii="宋体" w:hAnsi="宋体" w:eastAsia="宋体"/>
                <w:b w:val="0"/>
                <w:sz w:val="21"/>
              </w:rPr>
              <w:t>STC800、ZTC800V、XCT80L6</w:t>
            </w:r>
          </w:p>
        </w:tc>
        <w:tc>
          <w:tcPr>
            <w:tcW w:type="dxa" w:w="1440"/>
          </w:tcPr>
          <w:p>
            <w:pPr>
              <w:jc w:val="center"/>
            </w:pPr>
            <w:r>
              <w:rPr>
                <w:rFonts w:ascii="宋体" w:hAnsi="宋体" w:eastAsia="宋体"/>
                <w:b w:val="0"/>
                <w:sz w:val="21"/>
              </w:rPr>
              <w:t>调研 U 型截面、单板臂头、自重落幅、负载敏感液压应用</w:t>
            </w:r>
          </w:p>
        </w:tc>
        <w:tc>
          <w:tcPr>
            <w:tcW w:type="dxa" w:w="1440"/>
          </w:tcPr>
          <w:p>
            <w:pPr>
              <w:jc w:val="center"/>
            </w:pPr>
            <w:r>
              <w:rPr>
                <w:rFonts w:ascii="宋体" w:hAnsi="宋体" w:eastAsia="宋体"/>
                <w:b w:val="0"/>
                <w:sz w:val="21"/>
              </w:rPr>
              <w:t>对标3台</w:t>
            </w:r>
          </w:p>
        </w:tc>
      </w:tr>
      <w:tr>
        <w:tc>
          <w:tcPr>
            <w:tcW w:type="dxa" w:w="1440"/>
          </w:tcPr>
          <w:p>
            <w:pPr>
              <w:jc w:val="center"/>
            </w:pPr>
            <w:r>
              <w:rPr>
                <w:rFonts w:ascii="宋体" w:hAnsi="宋体" w:eastAsia="宋体"/>
                <w:b w:val="0"/>
                <w:sz w:val="21"/>
              </w:rPr>
              <w:t>3</w:t>
            </w:r>
          </w:p>
        </w:tc>
        <w:tc>
          <w:tcPr>
            <w:tcW w:type="dxa" w:w="1440"/>
          </w:tcPr>
          <w:p>
            <w:pPr>
              <w:jc w:val="center"/>
            </w:pPr>
            <w:r>
              <w:rPr>
                <w:rFonts w:ascii="宋体" w:hAnsi="宋体" w:eastAsia="宋体"/>
                <w:b w:val="0"/>
                <w:sz w:val="21"/>
              </w:rPr>
              <w:t>原材料供应商</w:t>
            </w:r>
          </w:p>
        </w:tc>
        <w:tc>
          <w:tcPr>
            <w:tcW w:type="dxa" w:w="1440"/>
          </w:tcPr>
          <w:p>
            <w:pPr>
              <w:jc w:val="center"/>
            </w:pPr>
            <w:r>
              <w:rPr>
                <w:rFonts w:ascii="宋体" w:hAnsi="宋体" w:eastAsia="宋体"/>
                <w:b w:val="0"/>
                <w:sz w:val="21"/>
              </w:rPr>
              <w:t>供应商技术交流、材料工艺试验</w:t>
            </w:r>
          </w:p>
        </w:tc>
        <w:tc>
          <w:tcPr>
            <w:tcW w:type="dxa" w:w="1440"/>
          </w:tcPr>
          <w:p>
            <w:pPr>
              <w:jc w:val="center"/>
            </w:pPr>
            <w:r>
              <w:rPr>
                <w:rFonts w:ascii="宋体" w:hAnsi="宋体" w:eastAsia="宋体"/>
                <w:b w:val="0"/>
                <w:sz w:val="21"/>
              </w:rPr>
              <w:t>BS700、Q960 高强钢供应商（宝钢等）</w:t>
            </w:r>
          </w:p>
        </w:tc>
        <w:tc>
          <w:tcPr>
            <w:tcW w:type="dxa" w:w="1440"/>
          </w:tcPr>
          <w:p>
            <w:pPr>
              <w:jc w:val="center"/>
            </w:pPr>
            <w:r>
              <w:rPr>
                <w:rFonts w:ascii="宋体" w:hAnsi="宋体" w:eastAsia="宋体"/>
                <w:b w:val="0"/>
                <w:sz w:val="21"/>
              </w:rPr>
              <w:t>评估高强钢可焊性、屈强比、供货周期与价格</w:t>
            </w:r>
          </w:p>
        </w:tc>
        <w:tc>
          <w:tcPr>
            <w:tcW w:type="dxa" w:w="1440"/>
          </w:tcPr>
          <w:p>
            <w:pPr>
              <w:jc w:val="center"/>
            </w:pPr>
            <w:r>
              <w:rPr>
                <w:rFonts w:ascii="宋体" w:hAnsi="宋体" w:eastAsia="宋体"/>
                <w:b w:val="0"/>
                <w:sz w:val="21"/>
              </w:rPr>
              <w:t>交流3家</w:t>
            </w:r>
          </w:p>
        </w:tc>
      </w:tr>
      <w:tr>
        <w:tc>
          <w:tcPr>
            <w:tcW w:type="dxa" w:w="1440"/>
          </w:tcPr>
          <w:p>
            <w:pPr>
              <w:jc w:val="center"/>
            </w:pPr>
            <w:r>
              <w:rPr>
                <w:rFonts w:ascii="宋体" w:hAnsi="宋体" w:eastAsia="宋体"/>
                <w:b w:val="0"/>
                <w:sz w:val="21"/>
              </w:rPr>
              <w:t>4</w:t>
            </w:r>
          </w:p>
        </w:tc>
        <w:tc>
          <w:tcPr>
            <w:tcW w:type="dxa" w:w="1440"/>
          </w:tcPr>
          <w:p>
            <w:pPr>
              <w:jc w:val="center"/>
            </w:pPr>
            <w:r>
              <w:rPr>
                <w:rFonts w:ascii="宋体" w:hAnsi="宋体" w:eastAsia="宋体"/>
                <w:b w:val="0"/>
                <w:sz w:val="21"/>
              </w:rPr>
              <w:t>液压及工艺配套供应商</w:t>
            </w:r>
          </w:p>
        </w:tc>
        <w:tc>
          <w:tcPr>
            <w:tcW w:type="dxa" w:w="1440"/>
          </w:tcPr>
          <w:p>
            <w:pPr>
              <w:jc w:val="center"/>
            </w:pPr>
            <w:r>
              <w:rPr>
                <w:rFonts w:ascii="宋体" w:hAnsi="宋体" w:eastAsia="宋体"/>
                <w:b w:val="0"/>
                <w:sz w:val="21"/>
              </w:rPr>
              <w:t>技术交流、台架与工艺验证</w:t>
            </w:r>
          </w:p>
        </w:tc>
        <w:tc>
          <w:tcPr>
            <w:tcW w:type="dxa" w:w="1440"/>
          </w:tcPr>
          <w:p>
            <w:pPr>
              <w:jc w:val="center"/>
            </w:pPr>
            <w:r>
              <w:rPr>
                <w:rFonts w:ascii="宋体" w:hAnsi="宋体" w:eastAsia="宋体"/>
                <w:b w:val="0"/>
                <w:sz w:val="21"/>
              </w:rPr>
              <w:t>负载敏感多路阀、变幅油缸、焊接设备供应商</w:t>
            </w:r>
          </w:p>
        </w:tc>
        <w:tc>
          <w:tcPr>
            <w:tcW w:type="dxa" w:w="1440"/>
          </w:tcPr>
          <w:p>
            <w:pPr>
              <w:jc w:val="center"/>
            </w:pPr>
            <w:r>
              <w:rPr>
                <w:rFonts w:ascii="宋体" w:hAnsi="宋体" w:eastAsia="宋体"/>
                <w:b w:val="0"/>
                <w:sz w:val="21"/>
              </w:rPr>
              <w:t>验证负载敏感液压、自重落幅与焊接工艺可行性</w:t>
            </w:r>
          </w:p>
        </w:tc>
        <w:tc>
          <w:tcPr>
            <w:tcW w:type="dxa" w:w="1440"/>
          </w:tcPr>
          <w:p>
            <w:pPr>
              <w:jc w:val="center"/>
            </w:pPr>
            <w:r>
              <w:rPr>
                <w:rFonts w:ascii="宋体" w:hAnsi="宋体" w:eastAsia="宋体"/>
                <w:b w:val="0"/>
                <w:sz w:val="21"/>
              </w:rPr>
              <w:t>交流4家</w:t>
            </w:r>
          </w:p>
        </w:tc>
      </w:tr>
      <w:tr>
        <w:tc>
          <w:tcPr>
            <w:tcW w:type="dxa" w:w="1440"/>
          </w:tcPr>
          <w:p>
            <w:pPr>
              <w:jc w:val="center"/>
            </w:pPr>
            <w:r>
              <w:rPr>
                <w:rFonts w:ascii="宋体" w:hAnsi="宋体" w:eastAsia="宋体"/>
                <w:b w:val="0"/>
                <w:sz w:val="21"/>
              </w:rPr>
              <w:t>5</w:t>
            </w:r>
          </w:p>
        </w:tc>
        <w:tc>
          <w:tcPr>
            <w:tcW w:type="dxa" w:w="1440"/>
          </w:tcPr>
          <w:p>
            <w:pPr>
              <w:jc w:val="center"/>
            </w:pPr>
            <w:r>
              <w:rPr>
                <w:rFonts w:ascii="宋体" w:hAnsi="宋体" w:eastAsia="宋体"/>
                <w:b w:val="0"/>
                <w:sz w:val="21"/>
              </w:rPr>
              <w:t>高校院所与专利库</w:t>
            </w:r>
          </w:p>
        </w:tc>
        <w:tc>
          <w:tcPr>
            <w:tcW w:type="dxa" w:w="1440"/>
          </w:tcPr>
          <w:p>
            <w:pPr>
              <w:jc w:val="center"/>
            </w:pPr>
            <w:r>
              <w:rPr>
                <w:rFonts w:ascii="宋体" w:hAnsi="宋体" w:eastAsia="宋体"/>
                <w:b w:val="0"/>
                <w:sz w:val="21"/>
              </w:rPr>
              <w:t>论文检索、专利分析</w:t>
            </w:r>
          </w:p>
        </w:tc>
        <w:tc>
          <w:tcPr>
            <w:tcW w:type="dxa" w:w="1440"/>
          </w:tcPr>
          <w:p>
            <w:pPr>
              <w:jc w:val="center"/>
            </w:pPr>
            <w:r>
              <w:rPr>
                <w:rFonts w:ascii="宋体" w:hAnsi="宋体" w:eastAsia="宋体"/>
                <w:b w:val="0"/>
                <w:sz w:val="21"/>
              </w:rPr>
              <w:t>起重机械行业论文、专利数据库</w:t>
            </w:r>
          </w:p>
        </w:tc>
        <w:tc>
          <w:tcPr>
            <w:tcW w:type="dxa" w:w="1440"/>
          </w:tcPr>
          <w:p>
            <w:pPr>
              <w:jc w:val="center"/>
            </w:pPr>
            <w:r>
              <w:rPr>
                <w:rFonts w:ascii="宋体" w:hAnsi="宋体" w:eastAsia="宋体"/>
                <w:b w:val="0"/>
                <w:sz w:val="21"/>
              </w:rPr>
              <w:t>梳理臂架轻量化、拓扑优化与焊接工艺技术路线</w:t>
            </w:r>
          </w:p>
        </w:tc>
        <w:tc>
          <w:tcPr>
            <w:tcW w:type="dxa" w:w="1440"/>
          </w:tcPr>
          <w:p>
            <w:pPr>
              <w:jc w:val="center"/>
            </w:pPr>
            <w:r>
              <w:rPr>
                <w:rFonts w:ascii="宋体" w:hAnsi="宋体" w:eastAsia="宋体"/>
                <w:b w:val="0"/>
                <w:sz w:val="21"/>
              </w:rPr>
              <w:t>论文专利各约20篇</w:t>
            </w:r>
          </w:p>
        </w:tc>
      </w:tr>
    </w:tbl>
    <w:p>
      <w:pPr>
        <w:spacing w:line="240" w:lineRule="auto" w:before="160" w:after="160"/>
      </w:pPr>
      <w:r>
        <w:rPr>
          <w:rFonts w:ascii="黑体" w:hAnsi="黑体" w:eastAsia="黑体"/>
          <w:b w:val="0"/>
          <w:sz w:val="24"/>
        </w:rPr>
        <w:t>调研结果</w:t>
      </w:r>
    </w:p>
    <w:p>
      <w:pPr>
        <w:spacing w:line="240" w:lineRule="auto" w:before="100" w:after="100"/>
      </w:pPr>
      <w:r>
        <w:rPr>
          <w:rFonts w:ascii="宋体" w:hAnsi="宋体" w:eastAsia="宋体"/>
          <w:b/>
          <w:sz w:val="24"/>
        </w:rPr>
        <w:t>调研信息</w:t>
      </w:r>
    </w:p>
    <w:p>
      <w:pPr>
        <w:spacing w:line="360" w:lineRule="auto"/>
        <w:ind w:firstLineChars="200"/>
        <w:jc w:val="both"/>
      </w:pPr>
      <w:r>
        <w:rPr>
          <w:rFonts w:ascii="宋体" w:hAnsi="宋体" w:eastAsia="宋体"/>
          <w:b w:val="0"/>
          <w:sz w:val="24"/>
        </w:rPr>
        <w:t>本次技术调研时间为 2026 年 6 月至 7 月，范围覆盖国内外主要主机厂的新原理、新结构、新技术、新材料应用现状，重点围绕臂架轻量化、高强钢（BS700/Q960）应用、单板臂头结构、负载敏感液压、自重落幅与焊接工艺六大主题。调研途径包括国内外 6 家主机厂样机资料收集与拆解分析、学术论文与专利检索、原材料及液压元件供应商技术交流，并辅以三一 STC800、中联 ZTC800V、徐工 XCT80L6 三款国内竞品的样机对比测试，具体调研范围、方法与对象见表 1。</w:t>
      </w:r>
    </w:p>
    <w:p>
      <w:pPr>
        <w:spacing w:line="240" w:lineRule="auto" w:before="100" w:after="100"/>
      </w:pPr>
      <w:r>
        <w:rPr>
          <w:rFonts w:ascii="宋体" w:hAnsi="宋体" w:eastAsia="宋体"/>
          <w:b/>
          <w:sz w:val="24"/>
        </w:rPr>
        <w:t>调研结论</w:t>
      </w:r>
    </w:p>
    <w:p>
      <w:pPr>
        <w:jc w:val="center"/>
      </w:pPr>
      <w:r>
        <w:rPr>
          <w:rFonts w:ascii="宋体" w:hAnsi="宋体" w:eastAsia="宋体"/>
          <w:b/>
          <w:sz w:val="21"/>
        </w:rPr>
        <w:t>表 2 调研结论汇总表</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宋体" w:hAnsi="宋体" w:eastAsia="宋体"/>
                <w:b/>
                <w:sz w:val="21"/>
              </w:rPr>
              <w:t>序号</w:t>
            </w:r>
          </w:p>
        </w:tc>
        <w:tc>
          <w:tcPr>
            <w:tcW w:type="dxa" w:w="1234"/>
          </w:tcPr>
          <w:p>
            <w:pPr>
              <w:jc w:val="center"/>
            </w:pPr>
            <w:r>
              <w:rPr>
                <w:rFonts w:ascii="宋体" w:hAnsi="宋体" w:eastAsia="宋体"/>
                <w:b/>
                <w:sz w:val="21"/>
              </w:rPr>
              <w:t>客户群体</w:t>
            </w:r>
          </w:p>
        </w:tc>
        <w:tc>
          <w:tcPr>
            <w:tcW w:type="dxa" w:w="1234"/>
          </w:tcPr>
          <w:p>
            <w:pPr>
              <w:jc w:val="center"/>
            </w:pPr>
            <w:r>
              <w:rPr>
                <w:rFonts w:ascii="宋体" w:hAnsi="宋体" w:eastAsia="宋体"/>
                <w:b/>
                <w:sz w:val="21"/>
              </w:rPr>
              <w:t>客户规模/市场容量</w:t>
            </w:r>
          </w:p>
        </w:tc>
        <w:tc>
          <w:tcPr>
            <w:tcW w:type="dxa" w:w="1234"/>
          </w:tcPr>
          <w:p>
            <w:pPr>
              <w:jc w:val="center"/>
            </w:pPr>
            <w:r>
              <w:rPr>
                <w:rFonts w:ascii="宋体" w:hAnsi="宋体" w:eastAsia="宋体"/>
                <w:b/>
                <w:sz w:val="21"/>
              </w:rPr>
              <w:t>施工场景/工况</w:t>
            </w:r>
          </w:p>
        </w:tc>
        <w:tc>
          <w:tcPr>
            <w:tcW w:type="dxa" w:w="1234"/>
          </w:tcPr>
          <w:p>
            <w:pPr>
              <w:jc w:val="center"/>
            </w:pPr>
            <w:r>
              <w:rPr>
                <w:rFonts w:ascii="宋体" w:hAnsi="宋体" w:eastAsia="宋体"/>
                <w:b/>
                <w:sz w:val="21"/>
              </w:rPr>
              <w:t>工况分布占比</w:t>
            </w:r>
          </w:p>
        </w:tc>
        <w:tc>
          <w:tcPr>
            <w:tcW w:type="dxa" w:w="1234"/>
          </w:tcPr>
          <w:p>
            <w:pPr>
              <w:jc w:val="center"/>
            </w:pPr>
            <w:r>
              <w:rPr>
                <w:rFonts w:ascii="宋体" w:hAnsi="宋体" w:eastAsia="宋体"/>
                <w:b/>
                <w:sz w:val="21"/>
              </w:rPr>
              <w:t>业务痛点/客户需求</w:t>
            </w:r>
          </w:p>
        </w:tc>
        <w:tc>
          <w:tcPr>
            <w:tcW w:type="dxa" w:w="1234"/>
          </w:tcPr>
          <w:p>
            <w:pPr>
              <w:jc w:val="center"/>
            </w:pPr>
            <w:r>
              <w:rPr>
                <w:rFonts w:ascii="宋体" w:hAnsi="宋体" w:eastAsia="宋体"/>
                <w:b/>
                <w:sz w:val="21"/>
              </w:rPr>
              <w:t>信息来源</w:t>
            </w:r>
          </w:p>
        </w:tc>
      </w:tr>
      <w:tr>
        <w:tc>
          <w:tcPr>
            <w:tcW w:type="dxa" w:w="1234"/>
          </w:tcPr>
          <w:p>
            <w:pPr>
              <w:jc w:val="center"/>
            </w:pPr>
            <w:r>
              <w:rPr>
                <w:rFonts w:ascii="宋体" w:hAnsi="宋体" w:eastAsia="宋体"/>
                <w:b w:val="0"/>
                <w:sz w:val="21"/>
              </w:rPr>
              <w:t>1</w:t>
            </w:r>
          </w:p>
        </w:tc>
        <w:tc>
          <w:tcPr>
            <w:tcW w:type="dxa" w:w="1234"/>
          </w:tcPr>
          <w:p>
            <w:pPr>
              <w:jc w:val="center"/>
            </w:pPr>
            <w:r>
              <w:rPr>
                <w:rFonts w:ascii="宋体" w:hAnsi="宋体" w:eastAsia="宋体"/>
                <w:b w:val="0"/>
                <w:sz w:val="21"/>
              </w:rPr>
              <w:t>吊装公司</w:t>
            </w:r>
          </w:p>
        </w:tc>
        <w:tc>
          <w:tcPr>
            <w:tcW w:type="dxa" w:w="1234"/>
          </w:tcPr>
          <w:p>
            <w:pPr>
              <w:jc w:val="center"/>
            </w:pPr>
            <w:r>
              <w:rPr>
                <w:rFonts w:ascii="宋体" w:hAnsi="宋体" w:eastAsia="宋体"/>
                <w:b w:val="0"/>
                <w:sz w:val="21"/>
              </w:rPr>
              <w:t>80t级国内年需求约850台</w:t>
            </w:r>
          </w:p>
        </w:tc>
        <w:tc>
          <w:tcPr>
            <w:tcW w:type="dxa" w:w="1234"/>
          </w:tcPr>
          <w:p>
            <w:pPr>
              <w:jc w:val="center"/>
            </w:pPr>
            <w:r>
              <w:rPr>
                <w:rFonts w:ascii="宋体" w:hAnsi="宋体" w:eastAsia="宋体"/>
                <w:b w:val="0"/>
                <w:sz w:val="21"/>
              </w:rPr>
              <w:t>桥梁架设、厂房吊装</w:t>
            </w:r>
          </w:p>
        </w:tc>
        <w:tc>
          <w:tcPr>
            <w:tcW w:type="dxa" w:w="1234"/>
          </w:tcPr>
          <w:p>
            <w:pPr>
              <w:jc w:val="center"/>
            </w:pPr>
            <w:r>
              <w:rPr>
                <w:rFonts w:ascii="宋体" w:hAnsi="宋体" w:eastAsia="宋体"/>
                <w:b w:val="0"/>
                <w:sz w:val="21"/>
              </w:rPr>
              <w:t>30%</w:t>
            </w:r>
          </w:p>
        </w:tc>
        <w:tc>
          <w:tcPr>
            <w:tcW w:type="dxa" w:w="1234"/>
          </w:tcPr>
          <w:p>
            <w:pPr>
              <w:jc w:val="center"/>
            </w:pPr>
            <w:r>
              <w:rPr>
                <w:rFonts w:ascii="宋体" w:hAnsi="宋体" w:eastAsia="宋体"/>
                <w:b w:val="0"/>
                <w:sz w:val="21"/>
              </w:rPr>
              <w:t>主臂全伸长度需由55m提升至58m，最大起重力矩≥3200 kN·m</w:t>
            </w:r>
          </w:p>
        </w:tc>
        <w:tc>
          <w:tcPr>
            <w:tcW w:type="dxa" w:w="1234"/>
          </w:tcPr>
          <w:p>
            <w:pPr>
              <w:jc w:val="center"/>
            </w:pPr>
            <w:r>
              <w:rPr>
                <w:rFonts w:ascii="宋体" w:hAnsi="宋体" w:eastAsia="宋体"/>
                <w:b w:val="0"/>
                <w:sz w:val="21"/>
              </w:rPr>
              <w:t>样机对比、用户访谈</w:t>
            </w:r>
          </w:p>
        </w:tc>
      </w:tr>
      <w:tr>
        <w:tc>
          <w:tcPr>
            <w:tcW w:type="dxa" w:w="1234"/>
          </w:tcPr>
          <w:p>
            <w:pPr>
              <w:jc w:val="center"/>
            </w:pPr>
            <w:r>
              <w:rPr>
                <w:rFonts w:ascii="宋体" w:hAnsi="宋体" w:eastAsia="宋体"/>
                <w:b w:val="0"/>
                <w:sz w:val="21"/>
              </w:rPr>
              <w:t>2</w:t>
            </w:r>
          </w:p>
        </w:tc>
        <w:tc>
          <w:tcPr>
            <w:tcW w:type="dxa" w:w="1234"/>
          </w:tcPr>
          <w:p>
            <w:pPr>
              <w:jc w:val="center"/>
            </w:pPr>
            <w:r>
              <w:rPr>
                <w:rFonts w:ascii="宋体" w:hAnsi="宋体" w:eastAsia="宋体"/>
                <w:b w:val="0"/>
                <w:sz w:val="21"/>
              </w:rPr>
              <w:t>租赁商</w:t>
            </w:r>
          </w:p>
        </w:tc>
        <w:tc>
          <w:tcPr>
            <w:tcW w:type="dxa" w:w="1234"/>
          </w:tcPr>
          <w:p>
            <w:pPr>
              <w:jc w:val="center"/>
            </w:pPr>
            <w:r>
              <w:rPr>
                <w:rFonts w:ascii="宋体" w:hAnsi="宋体" w:eastAsia="宋体"/>
                <w:b w:val="0"/>
                <w:sz w:val="21"/>
              </w:rPr>
              <w:t>租赁市场保有量约3200台</w:t>
            </w:r>
          </w:p>
        </w:tc>
        <w:tc>
          <w:tcPr>
            <w:tcW w:type="dxa" w:w="1234"/>
          </w:tcPr>
          <w:p>
            <w:pPr>
              <w:jc w:val="center"/>
            </w:pPr>
            <w:r>
              <w:rPr>
                <w:rFonts w:ascii="宋体" w:hAnsi="宋体" w:eastAsia="宋体"/>
                <w:b w:val="0"/>
                <w:sz w:val="21"/>
              </w:rPr>
              <w:t>房建、钢结构安装</w:t>
            </w:r>
          </w:p>
        </w:tc>
        <w:tc>
          <w:tcPr>
            <w:tcW w:type="dxa" w:w="1234"/>
          </w:tcPr>
          <w:p>
            <w:pPr>
              <w:jc w:val="center"/>
            </w:pPr>
            <w:r>
              <w:rPr>
                <w:rFonts w:ascii="宋体" w:hAnsi="宋体" w:eastAsia="宋体"/>
                <w:b w:val="0"/>
                <w:sz w:val="21"/>
              </w:rPr>
              <w:t>25%</w:t>
            </w:r>
          </w:p>
        </w:tc>
        <w:tc>
          <w:tcPr>
            <w:tcW w:type="dxa" w:w="1234"/>
          </w:tcPr>
          <w:p>
            <w:pPr>
              <w:jc w:val="center"/>
            </w:pPr>
            <w:r>
              <w:rPr>
                <w:rFonts w:ascii="宋体" w:hAnsi="宋体" w:eastAsia="宋体"/>
                <w:b w:val="0"/>
                <w:sz w:val="21"/>
              </w:rPr>
              <w:t>整机自重≤43t，转场便利、配重可自装卸</w:t>
            </w:r>
          </w:p>
        </w:tc>
        <w:tc>
          <w:tcPr>
            <w:tcW w:type="dxa" w:w="1234"/>
          </w:tcPr>
          <w:p>
            <w:pPr>
              <w:jc w:val="center"/>
            </w:pPr>
            <w:r>
              <w:rPr>
                <w:rFonts w:ascii="宋体" w:hAnsi="宋体" w:eastAsia="宋体"/>
                <w:b w:val="0"/>
                <w:sz w:val="21"/>
              </w:rPr>
              <w:t>租赁商访谈</w:t>
            </w:r>
          </w:p>
        </w:tc>
      </w:tr>
      <w:tr>
        <w:tc>
          <w:tcPr>
            <w:tcW w:type="dxa" w:w="1234"/>
          </w:tcPr>
          <w:p>
            <w:pPr>
              <w:jc w:val="center"/>
            </w:pPr>
            <w:r>
              <w:rPr>
                <w:rFonts w:ascii="宋体" w:hAnsi="宋体" w:eastAsia="宋体"/>
                <w:b w:val="0"/>
                <w:sz w:val="21"/>
              </w:rPr>
              <w:t>3</w:t>
            </w:r>
          </w:p>
        </w:tc>
        <w:tc>
          <w:tcPr>
            <w:tcW w:type="dxa" w:w="1234"/>
          </w:tcPr>
          <w:p>
            <w:pPr>
              <w:jc w:val="center"/>
            </w:pPr>
            <w:r>
              <w:rPr>
                <w:rFonts w:ascii="宋体" w:hAnsi="宋体" w:eastAsia="宋体"/>
                <w:b w:val="0"/>
                <w:sz w:val="21"/>
              </w:rPr>
              <w:t>风电用户</w:t>
            </w:r>
          </w:p>
        </w:tc>
        <w:tc>
          <w:tcPr>
            <w:tcW w:type="dxa" w:w="1234"/>
          </w:tcPr>
          <w:p>
            <w:pPr>
              <w:jc w:val="center"/>
            </w:pPr>
            <w:r>
              <w:rPr>
                <w:rFonts w:ascii="宋体" w:hAnsi="宋体" w:eastAsia="宋体"/>
                <w:b w:val="0"/>
                <w:sz w:val="21"/>
              </w:rPr>
              <w:t>年新增风电场120个以上</w:t>
            </w:r>
          </w:p>
        </w:tc>
        <w:tc>
          <w:tcPr>
            <w:tcW w:type="dxa" w:w="1234"/>
          </w:tcPr>
          <w:p>
            <w:pPr>
              <w:jc w:val="center"/>
            </w:pPr>
            <w:r>
              <w:rPr>
                <w:rFonts w:ascii="宋体" w:hAnsi="宋体" w:eastAsia="宋体"/>
                <w:b w:val="0"/>
                <w:sz w:val="21"/>
              </w:rPr>
              <w:t>风电检修、叶片更换</w:t>
            </w:r>
          </w:p>
        </w:tc>
        <w:tc>
          <w:tcPr>
            <w:tcW w:type="dxa" w:w="1234"/>
          </w:tcPr>
          <w:p>
            <w:pPr>
              <w:jc w:val="center"/>
            </w:pPr>
            <w:r>
              <w:rPr>
                <w:rFonts w:ascii="宋体" w:hAnsi="宋体" w:eastAsia="宋体"/>
                <w:b w:val="0"/>
                <w:sz w:val="21"/>
              </w:rPr>
              <w:t>18%</w:t>
            </w:r>
          </w:p>
        </w:tc>
        <w:tc>
          <w:tcPr>
            <w:tcW w:type="dxa" w:w="1234"/>
          </w:tcPr>
          <w:p>
            <w:pPr>
              <w:jc w:val="center"/>
            </w:pPr>
            <w:r>
              <w:rPr>
                <w:rFonts w:ascii="宋体" w:hAnsi="宋体" w:eastAsia="宋体"/>
                <w:b w:val="0"/>
                <w:sz w:val="21"/>
              </w:rPr>
              <w:t>超起/副臂需求，变幅平稳、微动性好</w:t>
            </w:r>
          </w:p>
        </w:tc>
        <w:tc>
          <w:tcPr>
            <w:tcW w:type="dxa" w:w="1234"/>
          </w:tcPr>
          <w:p>
            <w:pPr>
              <w:jc w:val="center"/>
            </w:pPr>
            <w:r>
              <w:rPr>
                <w:rFonts w:ascii="宋体" w:hAnsi="宋体" w:eastAsia="宋体"/>
                <w:b w:val="0"/>
                <w:sz w:val="21"/>
              </w:rPr>
              <w:t>展会调研、售后记录</w:t>
            </w:r>
          </w:p>
        </w:tc>
      </w:tr>
      <w:tr>
        <w:tc>
          <w:tcPr>
            <w:tcW w:type="dxa" w:w="1234"/>
          </w:tcPr>
          <w:p>
            <w:pPr>
              <w:jc w:val="center"/>
            </w:pPr>
            <w:r>
              <w:rPr>
                <w:rFonts w:ascii="宋体" w:hAnsi="宋体" w:eastAsia="宋体"/>
                <w:b w:val="0"/>
                <w:sz w:val="21"/>
              </w:rPr>
              <w:t>4</w:t>
            </w:r>
          </w:p>
        </w:tc>
        <w:tc>
          <w:tcPr>
            <w:tcW w:type="dxa" w:w="1234"/>
          </w:tcPr>
          <w:p>
            <w:pPr>
              <w:jc w:val="center"/>
            </w:pPr>
            <w:r>
              <w:rPr>
                <w:rFonts w:ascii="宋体" w:hAnsi="宋体" w:eastAsia="宋体"/>
                <w:b w:val="0"/>
                <w:sz w:val="21"/>
              </w:rPr>
              <w:t>基建总包</w:t>
            </w:r>
          </w:p>
        </w:tc>
        <w:tc>
          <w:tcPr>
            <w:tcW w:type="dxa" w:w="1234"/>
          </w:tcPr>
          <w:p>
            <w:pPr>
              <w:jc w:val="center"/>
            </w:pPr>
            <w:r>
              <w:rPr>
                <w:rFonts w:ascii="宋体" w:hAnsi="宋体" w:eastAsia="宋体"/>
                <w:b w:val="0"/>
                <w:sz w:val="21"/>
              </w:rPr>
              <w:t>基建投资年增约8%</w:t>
            </w:r>
          </w:p>
        </w:tc>
        <w:tc>
          <w:tcPr>
            <w:tcW w:type="dxa" w:w="1234"/>
          </w:tcPr>
          <w:p>
            <w:pPr>
              <w:jc w:val="center"/>
            </w:pPr>
            <w:r>
              <w:rPr>
                <w:rFonts w:ascii="宋体" w:hAnsi="宋体" w:eastAsia="宋体"/>
                <w:b w:val="0"/>
                <w:sz w:val="21"/>
              </w:rPr>
              <w:t>基础工程、隧道、港口</w:t>
            </w:r>
          </w:p>
        </w:tc>
        <w:tc>
          <w:tcPr>
            <w:tcW w:type="dxa" w:w="1234"/>
          </w:tcPr>
          <w:p>
            <w:pPr>
              <w:jc w:val="center"/>
            </w:pPr>
            <w:r>
              <w:rPr>
                <w:rFonts w:ascii="宋体" w:hAnsi="宋体" w:eastAsia="宋体"/>
                <w:b w:val="0"/>
                <w:sz w:val="21"/>
              </w:rPr>
              <w:t>15%</w:t>
            </w:r>
          </w:p>
        </w:tc>
        <w:tc>
          <w:tcPr>
            <w:tcW w:type="dxa" w:w="1234"/>
          </w:tcPr>
          <w:p>
            <w:pPr>
              <w:jc w:val="center"/>
            </w:pPr>
            <w:r>
              <w:rPr>
                <w:rFonts w:ascii="宋体" w:hAnsi="宋体" w:eastAsia="宋体"/>
                <w:b w:val="0"/>
                <w:sz w:val="21"/>
              </w:rPr>
              <w:t>关注高强钢应用与整机可靠性</w:t>
            </w:r>
          </w:p>
        </w:tc>
        <w:tc>
          <w:tcPr>
            <w:tcW w:type="dxa" w:w="1234"/>
          </w:tcPr>
          <w:p>
            <w:pPr>
              <w:jc w:val="center"/>
            </w:pPr>
            <w:r>
              <w:rPr>
                <w:rFonts w:ascii="宋体" w:hAnsi="宋体" w:eastAsia="宋体"/>
                <w:b w:val="0"/>
                <w:sz w:val="21"/>
              </w:rPr>
              <w:t>用户座谈会</w:t>
            </w:r>
          </w:p>
        </w:tc>
      </w:tr>
    </w:tbl>
    <w:p>
      <w:pPr>
        <w:jc w:val="center"/>
      </w:pPr>
      <w:r>
        <w:drawing>
          <wp:inline xmlns:a="http://schemas.openxmlformats.org/drawingml/2006/main" xmlns:pic="http://schemas.openxmlformats.org/drawingml/2006/picture">
            <wp:extent cx="5040000" cy="3294217"/>
            <wp:docPr id="1" name="Picture 1"/>
            <wp:cNvGraphicFramePr>
              <a:graphicFrameLocks noChangeAspect="1"/>
            </wp:cNvGraphicFramePr>
            <a:graphic>
              <a:graphicData uri="http://schemas.openxmlformats.org/drawingml/2006/picture">
                <pic:pic>
                  <pic:nvPicPr>
                    <pic:cNvPr id="0" name="tech_maturity_bar.png"/>
                    <pic:cNvPicPr/>
                  </pic:nvPicPr>
                  <pic:blipFill>
                    <a:blip r:embed="rId9"/>
                    <a:stretch>
                      <a:fillRect/>
                    </a:stretch>
                  </pic:blipFill>
                  <pic:spPr>
                    <a:xfrm>
                      <a:off x="0" y="0"/>
                      <a:ext cx="5040000" cy="3294217"/>
                    </a:xfrm>
                    <a:prstGeom prst="rect"/>
                  </pic:spPr>
                </pic:pic>
              </a:graphicData>
            </a:graphic>
          </wp:inline>
        </w:drawing>
      </w:r>
    </w:p>
    <w:p>
      <w:pPr>
        <w:jc w:val="center"/>
      </w:pPr>
      <w:r>
        <w:rPr>
          <w:rFonts w:ascii="黑体" w:hAnsi="黑体" w:eastAsia="黑体"/>
          <w:b w:val="0"/>
          <w:sz w:val="21"/>
        </w:rPr>
        <w:t>图 1 关键技术成熟度对标</w:t>
      </w:r>
    </w:p>
    <w:p>
      <w:pPr>
        <w:jc w:val="center"/>
      </w:pPr>
      <w:r>
        <w:drawing>
          <wp:inline xmlns:a="http://schemas.openxmlformats.org/drawingml/2006/main" xmlns:pic="http://schemas.openxmlformats.org/drawingml/2006/picture">
            <wp:extent cx="5040000" cy="3338462"/>
            <wp:docPr id="2" name="Picture 2"/>
            <wp:cNvGraphicFramePr>
              <a:graphicFrameLocks noChangeAspect="1"/>
            </wp:cNvGraphicFramePr>
            <a:graphic>
              <a:graphicData uri="http://schemas.openxmlformats.org/drawingml/2006/picture">
                <pic:pic>
                  <pic:nvPicPr>
                    <pic:cNvPr id="0" name="material_strength_bar.png"/>
                    <pic:cNvPicPr/>
                  </pic:nvPicPr>
                  <pic:blipFill>
                    <a:blip r:embed="rId10"/>
                    <a:stretch>
                      <a:fillRect/>
                    </a:stretch>
                  </pic:blipFill>
                  <pic:spPr>
                    <a:xfrm>
                      <a:off x="0" y="0"/>
                      <a:ext cx="5040000" cy="3338462"/>
                    </a:xfrm>
                    <a:prstGeom prst="rect"/>
                  </pic:spPr>
                </pic:pic>
              </a:graphicData>
            </a:graphic>
          </wp:inline>
        </w:drawing>
      </w:r>
    </w:p>
    <w:p>
      <w:pPr>
        <w:jc w:val="center"/>
      </w:pPr>
      <w:r>
        <w:rPr>
          <w:rFonts w:ascii="黑体" w:hAnsi="黑体" w:eastAsia="黑体"/>
          <w:b w:val="0"/>
          <w:sz w:val="21"/>
        </w:rPr>
        <w:t>图 2 臂架材料强度对比</w:t>
      </w:r>
    </w:p>
    <w:p>
      <w:pPr>
        <w:spacing w:line="240" w:lineRule="auto" w:before="160" w:after="160"/>
      </w:pPr>
      <w:r>
        <w:rPr>
          <w:rFonts w:ascii="黑体" w:hAnsi="黑体" w:eastAsia="黑体"/>
          <w:b w:val="0"/>
          <w:sz w:val="24"/>
        </w:rPr>
        <w:t>竞品采用的新原理、新结构、新技术、新材料说明</w:t>
      </w:r>
    </w:p>
    <w:p>
      <w:pPr>
        <w:spacing w:line="360" w:lineRule="auto"/>
        <w:ind w:firstLineChars="200"/>
        <w:jc w:val="both"/>
      </w:pPr>
      <w:r>
        <w:rPr>
          <w:rFonts w:ascii="宋体" w:hAnsi="宋体" w:eastAsia="宋体"/>
          <w:b w:val="0"/>
          <w:sz w:val="24"/>
        </w:rPr>
        <w:t>三一（STC800）在 80t 级产品上全面采用 U 型截面主臂结构，配合 BS700 高强钢在腹板、盖板的差异化应用，使臂架自重较同吨位圆截面方案明显下降，全伸臂长与起重力矩指标位居行业前列。其“轻量化结构 + 高强钢选材”的总体思路对现款 XCT80L7 的臂架优化具有直接借鉴价值，调研中重点记录了其腹板加强形式与板材厚度分布。</w:t>
      </w:r>
    </w:p>
    <w:p>
      <w:pPr>
        <w:spacing w:line="360" w:lineRule="auto"/>
        <w:ind w:firstLineChars="200"/>
        <w:jc w:val="both"/>
      </w:pPr>
      <w:r>
        <w:rPr>
          <w:rFonts w:ascii="宋体" w:hAnsi="宋体" w:eastAsia="宋体"/>
          <w:b w:val="0"/>
          <w:sz w:val="24"/>
        </w:rPr>
        <w:t>中联（ZTC800V）采用单板臂头结构，将传统多板拼焊臂头简化为整体单板成型，在减少焊接工作量的同时有效改善了臂头局部应力集中，降低了该区域的疲劳开裂风险。其变幅油缸采用自重落幅技术，依靠吊臂与吊重自重实现平稳回落，既改善了变幅微动操控性能，又降低了液压系统能耗，对本项目变幅平稳性指标的达成具有参考意义。</w:t>
      </w:r>
    </w:p>
    <w:p>
      <w:pPr>
        <w:spacing w:line="360" w:lineRule="auto"/>
        <w:ind w:firstLineChars="200"/>
        <w:jc w:val="both"/>
      </w:pPr>
      <w:r>
        <w:rPr>
          <w:rFonts w:ascii="宋体" w:hAnsi="宋体" w:eastAsia="宋体"/>
          <w:b w:val="0"/>
          <w:sz w:val="24"/>
        </w:rPr>
        <w:t>徐工（XCT80L6）配置负载敏感液压系统，通过负载反馈实现流量按需分配，起升、变幅在满载低速工况下微动性优异、操控平稳，其主阀与变幅回路设计是本项目液压系统选型的重点对标对象。同时徐工在远程诊断与智能化方面布局较早，可通过车载终端对臂架及液压系统运行状态进行远程监测，为本项目预留远程诊断接口与 CAN 总线扩展提供了工程参照。</w:t>
      </w:r>
    </w:p>
    <w:p>
      <w:pPr>
        <w:spacing w:line="240" w:lineRule="auto" w:before="160" w:after="160"/>
      </w:pPr>
      <w:r>
        <w:rPr>
          <w:rFonts w:ascii="黑体" w:hAnsi="黑体" w:eastAsia="黑体"/>
          <w:b w:val="0"/>
          <w:sz w:val="24"/>
        </w:rPr>
        <w:t>新产品开发建议</w:t>
      </w:r>
    </w:p>
    <w:p>
      <w:pPr>
        <w:jc w:val="center"/>
      </w:pPr>
      <w:r>
        <w:rPr>
          <w:rFonts w:ascii="宋体" w:hAnsi="宋体" w:eastAsia="宋体"/>
          <w:b/>
          <w:sz w:val="21"/>
        </w:rPr>
        <w:t>表 3 新产品开发建议表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1"/>
              </w:rPr>
              <w:t>序号</w:t>
            </w:r>
          </w:p>
        </w:tc>
        <w:tc>
          <w:tcPr>
            <w:tcW w:type="dxa" w:w="1728"/>
          </w:tcPr>
          <w:p>
            <w:pPr>
              <w:jc w:val="center"/>
            </w:pPr>
            <w:r>
              <w:rPr>
                <w:rFonts w:ascii="宋体" w:hAnsi="宋体" w:eastAsia="宋体"/>
                <w:b/>
                <w:sz w:val="21"/>
              </w:rPr>
              <w:t>类别</w:t>
            </w:r>
          </w:p>
        </w:tc>
        <w:tc>
          <w:tcPr>
            <w:tcW w:type="dxa" w:w="1728"/>
          </w:tcPr>
          <w:p>
            <w:pPr>
              <w:jc w:val="center"/>
            </w:pPr>
            <w:r>
              <w:rPr>
                <w:rFonts w:ascii="宋体" w:hAnsi="宋体" w:eastAsia="宋体"/>
                <w:b/>
                <w:sz w:val="21"/>
              </w:rPr>
              <w:t>新产品开发建议</w:t>
            </w:r>
          </w:p>
        </w:tc>
        <w:tc>
          <w:tcPr>
            <w:tcW w:type="dxa" w:w="1728"/>
          </w:tcPr>
          <w:p>
            <w:pPr>
              <w:jc w:val="center"/>
            </w:pPr>
            <w:r>
              <w:rPr>
                <w:rFonts w:ascii="宋体" w:hAnsi="宋体" w:eastAsia="宋体"/>
                <w:b/>
                <w:sz w:val="21"/>
              </w:rPr>
              <w:t>产品规划输出值</w:t>
            </w:r>
          </w:p>
        </w:tc>
        <w:tc>
          <w:tcPr>
            <w:tcW w:type="dxa" w:w="1728"/>
          </w:tcPr>
          <w:p>
            <w:pPr>
              <w:jc w:val="center"/>
            </w:pPr>
            <w:r>
              <w:rPr>
                <w:rFonts w:ascii="宋体" w:hAnsi="宋体" w:eastAsia="宋体"/>
                <w:b/>
                <w:sz w:val="21"/>
              </w:rPr>
              <w:t>备注</w:t>
            </w:r>
          </w:p>
        </w:tc>
      </w:tr>
      <w:tr>
        <w:tc>
          <w:tcPr>
            <w:tcW w:type="dxa" w:w="1728"/>
          </w:tcPr>
          <w:p>
            <w:pPr>
              <w:jc w:val="center"/>
            </w:pPr>
            <w:r>
              <w:rPr>
                <w:rFonts w:ascii="宋体" w:hAnsi="宋体" w:eastAsia="宋体"/>
                <w:b w:val="0"/>
                <w:sz w:val="21"/>
              </w:rPr>
              <w:t>1</w:t>
            </w:r>
          </w:p>
        </w:tc>
        <w:tc>
          <w:tcPr>
            <w:tcW w:type="dxa" w:w="1728"/>
          </w:tcPr>
          <w:p>
            <w:pPr>
              <w:jc w:val="center"/>
            </w:pPr>
            <w:r>
              <w:rPr>
                <w:rFonts w:ascii="宋体" w:hAnsi="宋体" w:eastAsia="宋体"/>
                <w:b w:val="0"/>
                <w:sz w:val="21"/>
              </w:rPr>
              <w:t>新材料</w:t>
            </w:r>
          </w:p>
        </w:tc>
        <w:tc>
          <w:tcPr>
            <w:tcW w:type="dxa" w:w="1728"/>
          </w:tcPr>
          <w:p>
            <w:pPr>
              <w:jc w:val="center"/>
            </w:pPr>
            <w:r>
              <w:rPr>
                <w:rFonts w:ascii="宋体" w:hAnsi="宋体" w:eastAsia="宋体"/>
                <w:b w:val="0"/>
                <w:sz w:val="21"/>
              </w:rPr>
              <w:t>臂架采用 BS700/Q960 高强钢，腹板、盖板差异化选材</w:t>
            </w:r>
          </w:p>
        </w:tc>
        <w:tc>
          <w:tcPr>
            <w:tcW w:type="dxa" w:w="1728"/>
          </w:tcPr>
          <w:p>
            <w:pPr>
              <w:jc w:val="center"/>
            </w:pPr>
            <w:r>
              <w:rPr>
                <w:rFonts w:ascii="宋体" w:hAnsi="宋体" w:eastAsia="宋体"/>
                <w:b w:val="0"/>
                <w:sz w:val="21"/>
              </w:rPr>
              <w:t>臂架自重下降≥8%</w:t>
            </w:r>
          </w:p>
        </w:tc>
        <w:tc>
          <w:tcPr>
            <w:tcW w:type="dxa" w:w="1728"/>
          </w:tcPr>
          <w:p>
            <w:pPr>
              <w:jc w:val="center"/>
            </w:pPr>
            <w:r>
              <w:rPr>
                <w:rFonts w:ascii="宋体" w:hAnsi="宋体" w:eastAsia="宋体"/>
                <w:b w:val="0"/>
                <w:sz w:val="21"/>
              </w:rPr>
              <w:t>同步评估屈强比与可焊性</w:t>
            </w:r>
          </w:p>
        </w:tc>
      </w:tr>
      <w:tr>
        <w:tc>
          <w:tcPr>
            <w:tcW w:type="dxa" w:w="1728"/>
          </w:tcPr>
          <w:p>
            <w:pPr>
              <w:jc w:val="center"/>
            </w:pPr>
            <w:r>
              <w:rPr>
                <w:rFonts w:ascii="宋体" w:hAnsi="宋体" w:eastAsia="宋体"/>
                <w:b w:val="0"/>
                <w:sz w:val="21"/>
              </w:rPr>
              <w:t>2</w:t>
            </w:r>
          </w:p>
        </w:tc>
        <w:tc>
          <w:tcPr>
            <w:tcW w:type="dxa" w:w="1728"/>
          </w:tcPr>
          <w:p>
            <w:pPr>
              <w:jc w:val="center"/>
            </w:pPr>
            <w:r>
              <w:rPr>
                <w:rFonts w:ascii="宋体" w:hAnsi="宋体" w:eastAsia="宋体"/>
                <w:b w:val="0"/>
                <w:sz w:val="21"/>
              </w:rPr>
              <w:t>新结构</w:t>
            </w:r>
          </w:p>
        </w:tc>
        <w:tc>
          <w:tcPr>
            <w:tcW w:type="dxa" w:w="1728"/>
          </w:tcPr>
          <w:p>
            <w:pPr>
              <w:jc w:val="center"/>
            </w:pPr>
            <w:r>
              <w:rPr>
                <w:rFonts w:ascii="宋体" w:hAnsi="宋体" w:eastAsia="宋体"/>
                <w:b w:val="0"/>
                <w:sz w:val="21"/>
              </w:rPr>
              <w:t>主臂 U 型截面 + 单板臂头结构</w:t>
            </w:r>
          </w:p>
        </w:tc>
        <w:tc>
          <w:tcPr>
            <w:tcW w:type="dxa" w:w="1728"/>
          </w:tcPr>
          <w:p>
            <w:pPr>
              <w:jc w:val="center"/>
            </w:pPr>
            <w:r>
              <w:rPr>
                <w:rFonts w:ascii="宋体" w:hAnsi="宋体" w:eastAsia="宋体"/>
                <w:b w:val="0"/>
                <w:sz w:val="21"/>
              </w:rPr>
              <w:t>臂头局部应力集中显著改善</w:t>
            </w:r>
          </w:p>
        </w:tc>
        <w:tc>
          <w:tcPr>
            <w:tcW w:type="dxa" w:w="1728"/>
          </w:tcPr>
          <w:p>
            <w:pPr>
              <w:jc w:val="center"/>
            </w:pPr>
            <w:r>
              <w:rPr>
                <w:rFonts w:ascii="宋体" w:hAnsi="宋体" w:eastAsia="宋体"/>
                <w:b w:val="0"/>
                <w:sz w:val="21"/>
              </w:rPr>
              <w:t>全伸臂长58m</w:t>
            </w:r>
          </w:p>
        </w:tc>
      </w:tr>
      <w:tr>
        <w:tc>
          <w:tcPr>
            <w:tcW w:type="dxa" w:w="1728"/>
          </w:tcPr>
          <w:p>
            <w:pPr>
              <w:jc w:val="center"/>
            </w:pPr>
            <w:r>
              <w:rPr>
                <w:rFonts w:ascii="宋体" w:hAnsi="宋体" w:eastAsia="宋体"/>
                <w:b w:val="0"/>
                <w:sz w:val="21"/>
              </w:rPr>
              <w:t>3</w:t>
            </w:r>
          </w:p>
        </w:tc>
        <w:tc>
          <w:tcPr>
            <w:tcW w:type="dxa" w:w="1728"/>
          </w:tcPr>
          <w:p>
            <w:pPr>
              <w:jc w:val="center"/>
            </w:pPr>
            <w:r>
              <w:rPr>
                <w:rFonts w:ascii="宋体" w:hAnsi="宋体" w:eastAsia="宋体"/>
                <w:b w:val="0"/>
                <w:sz w:val="21"/>
              </w:rPr>
              <w:t>新技术</w:t>
            </w:r>
          </w:p>
        </w:tc>
        <w:tc>
          <w:tcPr>
            <w:tcW w:type="dxa" w:w="1728"/>
          </w:tcPr>
          <w:p>
            <w:pPr>
              <w:jc w:val="center"/>
            </w:pPr>
            <w:r>
              <w:rPr>
                <w:rFonts w:ascii="宋体" w:hAnsi="宋体" w:eastAsia="宋体"/>
                <w:b w:val="0"/>
                <w:sz w:val="21"/>
              </w:rPr>
              <w:t>负载敏感液压系统 + 变幅油缸自重落幅</w:t>
            </w:r>
          </w:p>
        </w:tc>
        <w:tc>
          <w:tcPr>
            <w:tcW w:type="dxa" w:w="1728"/>
          </w:tcPr>
          <w:p>
            <w:pPr>
              <w:jc w:val="center"/>
            </w:pPr>
            <w:r>
              <w:rPr>
                <w:rFonts w:ascii="宋体" w:hAnsi="宋体" w:eastAsia="宋体"/>
                <w:b w:val="0"/>
                <w:sz w:val="21"/>
              </w:rPr>
              <w:t>起升微动速度≤0.05 m/s，变幅平稳</w:t>
            </w:r>
          </w:p>
        </w:tc>
        <w:tc>
          <w:tcPr>
            <w:tcW w:type="dxa" w:w="1728"/>
          </w:tcPr>
          <w:p>
            <w:pPr>
              <w:jc w:val="center"/>
            </w:pPr>
            <w:r>
              <w:rPr>
                <w:rFonts w:ascii="宋体" w:hAnsi="宋体" w:eastAsia="宋体"/>
                <w:b w:val="0"/>
                <w:sz w:val="21"/>
              </w:rPr>
              <w:t>预留超起/副臂接口</w:t>
            </w:r>
          </w:p>
        </w:tc>
      </w:tr>
      <w:tr>
        <w:tc>
          <w:tcPr>
            <w:tcW w:type="dxa" w:w="1728"/>
          </w:tcPr>
          <w:p>
            <w:pPr>
              <w:jc w:val="center"/>
            </w:pPr>
            <w:r>
              <w:rPr>
                <w:rFonts w:ascii="宋体" w:hAnsi="宋体" w:eastAsia="宋体"/>
                <w:b w:val="0"/>
                <w:sz w:val="21"/>
              </w:rPr>
              <w:t>4</w:t>
            </w:r>
          </w:p>
        </w:tc>
        <w:tc>
          <w:tcPr>
            <w:tcW w:type="dxa" w:w="1728"/>
          </w:tcPr>
          <w:p>
            <w:pPr>
              <w:jc w:val="center"/>
            </w:pPr>
            <w:r>
              <w:rPr>
                <w:rFonts w:ascii="宋体" w:hAnsi="宋体" w:eastAsia="宋体"/>
                <w:b w:val="0"/>
                <w:sz w:val="21"/>
              </w:rPr>
              <w:t>新工艺</w:t>
            </w:r>
          </w:p>
        </w:tc>
        <w:tc>
          <w:tcPr>
            <w:tcW w:type="dxa" w:w="1728"/>
          </w:tcPr>
          <w:p>
            <w:pPr>
              <w:jc w:val="center"/>
            </w:pPr>
            <w:r>
              <w:rPr>
                <w:rFonts w:ascii="宋体" w:hAnsi="宋体" w:eastAsia="宋体"/>
                <w:b w:val="0"/>
                <w:sz w:val="21"/>
              </w:rPr>
              <w:t>焊接工艺优化（多层多道、焊后消应力）</w:t>
            </w:r>
          </w:p>
        </w:tc>
        <w:tc>
          <w:tcPr>
            <w:tcW w:type="dxa" w:w="1728"/>
          </w:tcPr>
          <w:p>
            <w:pPr>
              <w:jc w:val="center"/>
            </w:pPr>
            <w:r>
              <w:rPr>
                <w:rFonts w:ascii="宋体" w:hAnsi="宋体" w:eastAsia="宋体"/>
                <w:b w:val="0"/>
                <w:sz w:val="21"/>
              </w:rPr>
              <w:t>焊缝一次合格率≥99.5%</w:t>
            </w:r>
          </w:p>
        </w:tc>
        <w:tc>
          <w:tcPr>
            <w:tcW w:type="dxa" w:w="1728"/>
          </w:tcPr>
          <w:p>
            <w:pPr>
              <w:jc w:val="center"/>
            </w:pPr>
            <w:r>
              <w:rPr>
                <w:rFonts w:ascii="宋体" w:hAnsi="宋体" w:eastAsia="宋体"/>
                <w:b w:val="0"/>
                <w:sz w:val="21"/>
              </w:rPr>
            </w:r>
          </w:p>
        </w:tc>
      </w:tr>
    </w:tbl>
    <w:p>
      <w:pPr>
        <w:spacing w:line="240" w:lineRule="auto" w:before="160" w:after="160"/>
      </w:pPr>
      <w:r>
        <w:rPr>
          <w:rFonts w:ascii="黑体" w:hAnsi="黑体" w:eastAsia="黑体"/>
          <w:b w:val="0"/>
          <w:sz w:val="24"/>
        </w:rPr>
        <w:t>其他说明</w:t>
      </w:r>
    </w:p>
    <w:p>
      <w:pPr>
        <w:spacing w:line="360" w:lineRule="auto"/>
        <w:ind w:firstLineChars="200"/>
        <w:jc w:val="both"/>
      </w:pPr>
      <w:r>
        <w:rPr>
          <w:rFonts w:ascii="宋体" w:hAnsi="宋体" w:eastAsia="宋体"/>
          <w:b w:val="0"/>
          <w:sz w:val="24"/>
        </w:rPr>
        <w:t>本报告调研数据为内部模拟调研数据，用于支持 XCT80L7 臂架优化项目的技术方案论证，不作为对外技术宣传依据。调研结论中的关键技术成熟度（图 1）与候选材料强度（图 2）均基于公开资料与样机初步对比测试，BS700/Q960 高强钢的焊接工艺、疲劳性能与供货能力尚需通过专项试验进一步验证；同时高强钢采购成本上升部分需通过结构轻量化带来的材料用量下降予以对冲，以兼顾整车物料成本 118 万元（未税）的目标约束。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