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val="0"/>
          <w:sz w:val="24"/>
        </w:rPr>
        <w:t>产品名称：XCT80L7 型汽车起重机</w:t>
      </w:r>
    </w:p>
    <w:p>
      <w:pPr>
        <w:jc w:val="center"/>
      </w:pPr>
      <w:r>
        <w:rPr>
          <w:rFonts w:ascii="宋体" w:hAnsi="宋体" w:eastAsia="宋体"/>
          <w:b w:val="0"/>
          <w:sz w:val="24"/>
        </w:rPr>
        <w:t>项目名称：80t 汽车起重机臂架优化项目</w:t>
      </w:r>
    </w:p>
    <w:p>
      <w:pPr>
        <w:jc w:val="center"/>
      </w:pPr>
      <w:r>
        <w:rPr>
          <w:rFonts w:ascii="宋体" w:hAnsi="宋体" w:eastAsia="宋体"/>
          <w:b w:val="0"/>
          <w:sz w:val="24"/>
        </w:rPr>
        <w:t>项目编号：XG-ZX-2026-042</w:t>
      </w:r>
    </w:p>
    <w:p/>
    <w:p>
      <w:pPr>
        <w:jc w:val="center"/>
      </w:pPr>
      <w:r>
        <w:rPr>
          <w:rFonts w:ascii="黑体" w:hAnsi="黑体" w:eastAsia="黑体"/>
          <w:b/>
          <w:sz w:val="32"/>
        </w:rPr>
        <w:t>标准化综合要求</w:t>
      </w:r>
    </w:p>
    <w:p/>
    <w:p>
      <w:pPr>
        <w:spacing w:line="240" w:lineRule="auto" w:before="160" w:after="160"/>
      </w:pPr>
      <w:r>
        <w:rPr>
          <w:rFonts w:ascii="黑体" w:hAnsi="黑体" w:eastAsia="黑体"/>
          <w:b w:val="0"/>
          <w:sz w:val="24"/>
        </w:rPr>
        <w:t>概述</w:t>
      </w:r>
    </w:p>
    <w:p>
      <w:pPr>
        <w:spacing w:line="360" w:lineRule="auto"/>
        <w:ind w:firstLineChars="200"/>
        <w:jc w:val="both"/>
      </w:pPr>
      <w:r>
        <w:rPr>
          <w:rFonts w:ascii="宋体" w:hAnsi="宋体" w:eastAsia="宋体"/>
          <w:b w:val="0"/>
          <w:sz w:val="24"/>
        </w:rPr>
        <w:t>本项目针对 XCT80L7 型 80t 级汽车起重机的臂架优化，需在方案设计、详细设计、试制与量产全过程落实标准化综合要求，覆盖整机设计、安全防护、试验验证、零部件选用与环保能耗等各专业领域。标准化工作以现行有效的国家标准和行业标准为基线，结合企业标准体系，为臂架高强钢选材、结构设计与整机性能指标的确定提供统一依据。对标三一 STC800、中联 ZTC800V、徐工 XCT80L6 等竞品的标准执行水平，确保本产品在技术标准层面不低于市场同类产品，为产品取证、公告申报与市场投放奠定基础。通过执行标准化综合要求，可有效控制设计、采购与制造环节的质量风险，并支撑后续批量生产的一致性管控。</w:t>
      </w:r>
    </w:p>
    <w:p>
      <w:pPr>
        <w:spacing w:line="240" w:lineRule="auto" w:before="160" w:after="160"/>
      </w:pPr>
      <w:r>
        <w:rPr>
          <w:rFonts w:ascii="黑体" w:hAnsi="黑体" w:eastAsia="黑体"/>
          <w:b w:val="0"/>
          <w:sz w:val="24"/>
        </w:rPr>
        <w:t>应执行的法律法规</w:t>
      </w:r>
    </w:p>
    <w:p>
      <w:pPr>
        <w:spacing w:line="360" w:lineRule="auto"/>
        <w:ind w:firstLineChars="200"/>
        <w:jc w:val="both"/>
      </w:pPr>
      <w:r>
        <w:rPr>
          <w:rFonts w:ascii="宋体" w:hAnsi="宋体" w:eastAsia="宋体"/>
          <w:b w:val="0"/>
          <w:sz w:val="24"/>
        </w:rPr>
        <w:t>本产品开发应遵守国家对起重机械实施的强制性法规与安全技术规范，其中《起重机械安全技术规程》（TSG 51）对起重机械的设计、制造、安装、检验与使用实行全过程监管，是本项目必须满足的底线要求。同时应执行 GB 28708-2012《流动式起重机安全技术要求》等强制性国家标准，以及 GB/T 31052.11-2014《起重机械检查与维护规程 第11部分：流动式起重机》等使用安全类标准。法律法规与安全技术规范的符合性须在方案冻结（2026-11）前完成专项核查，并在试制与 SOP（2027-10）阶段通过型式试验与检验确认，确保产品满足公告申报与出厂要求。</w:t>
      </w:r>
    </w:p>
    <w:p>
      <w:pPr>
        <w:spacing w:line="240" w:lineRule="auto" w:before="160" w:after="160"/>
      </w:pPr>
      <w:r>
        <w:rPr>
          <w:rFonts w:ascii="黑体" w:hAnsi="黑体" w:eastAsia="黑体"/>
          <w:b w:val="0"/>
          <w:sz w:val="24"/>
        </w:rPr>
        <w:t>应执行的标准明细</w:t>
      </w:r>
    </w:p>
    <w:p>
      <w:pPr>
        <w:spacing w:line="360" w:lineRule="auto"/>
        <w:ind w:firstLineChars="200"/>
        <w:jc w:val="both"/>
      </w:pPr>
      <w:r>
        <w:rPr>
          <w:rFonts w:ascii="宋体" w:hAnsi="宋体" w:eastAsia="宋体"/>
          <w:b w:val="0"/>
          <w:sz w:val="24"/>
        </w:rPr>
        <w:t>在产品设计过程中，应满足下表标准要求：</w:t>
      </w:r>
    </w:p>
    <w:p>
      <w:pPr>
        <w:jc w:val="center"/>
      </w:pPr>
      <w:r>
        <w:rPr>
          <w:rFonts w:ascii="宋体" w:hAnsi="宋体" w:eastAsia="宋体"/>
          <w:b/>
          <w:sz w:val="21"/>
        </w:rPr>
        <w:t>表 1 产品执行标准明细表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序号</w:t>
            </w:r>
          </w:p>
        </w:tc>
        <w:tc>
          <w:tcPr>
            <w:tcW w:type="dxa" w:w="2160"/>
          </w:tcPr>
          <w:p>
            <w:pPr>
              <w:jc w:val="center"/>
            </w:pPr>
            <w:r>
              <w:rPr>
                <w:rFonts w:ascii="宋体" w:hAnsi="宋体" w:eastAsia="宋体"/>
                <w:b/>
                <w:sz w:val="21"/>
              </w:rPr>
              <w:t>标准分类</w:t>
            </w:r>
          </w:p>
        </w:tc>
        <w:tc>
          <w:tcPr>
            <w:tcW w:type="dxa" w:w="2160"/>
          </w:tcPr>
          <w:p>
            <w:pPr>
              <w:jc w:val="center"/>
            </w:pPr>
            <w:r>
              <w:rPr>
                <w:rFonts w:ascii="宋体" w:hAnsi="宋体" w:eastAsia="宋体"/>
                <w:b/>
                <w:sz w:val="21"/>
              </w:rPr>
              <w:t>应执行的标准号及名称</w:t>
            </w:r>
          </w:p>
        </w:tc>
        <w:tc>
          <w:tcPr>
            <w:tcW w:type="dxa" w:w="2160"/>
          </w:tcPr>
          <w:p>
            <w:pPr>
              <w:jc w:val="center"/>
            </w:pPr>
            <w:r>
              <w:rPr>
                <w:rFonts w:ascii="宋体" w:hAnsi="宋体" w:eastAsia="宋体"/>
                <w:b/>
                <w:sz w:val="21"/>
              </w:rPr>
              <w:t>补充说明</w:t>
            </w:r>
          </w:p>
        </w:tc>
      </w:tr>
      <w:tr>
        <w:tc>
          <w:tcPr>
            <w:tcW w:type="dxa" w:w="2160"/>
          </w:tcPr>
          <w:p>
            <w:pPr>
              <w:jc w:val="center"/>
            </w:pPr>
            <w:r>
              <w:rPr>
                <w:rFonts w:ascii="宋体" w:hAnsi="宋体" w:eastAsia="宋体"/>
                <w:b w:val="0"/>
                <w:sz w:val="21"/>
              </w:rPr>
              <w:t>1</w:t>
            </w:r>
          </w:p>
        </w:tc>
        <w:tc>
          <w:tcPr>
            <w:tcW w:type="dxa" w:w="2160"/>
          </w:tcPr>
          <w:p>
            <w:pPr>
              <w:jc w:val="center"/>
            </w:pPr>
            <w:r>
              <w:rPr>
                <w:rFonts w:ascii="宋体" w:hAnsi="宋体" w:eastAsia="宋体"/>
                <w:b w:val="0"/>
                <w:sz w:val="21"/>
              </w:rPr>
              <w:t>基础通用</w:t>
            </w:r>
          </w:p>
        </w:tc>
        <w:tc>
          <w:tcPr>
            <w:tcW w:type="dxa" w:w="2160"/>
          </w:tcPr>
          <w:p>
            <w:pPr>
              <w:jc w:val="center"/>
            </w:pPr>
            <w:r>
              <w:rPr>
                <w:rFonts w:ascii="宋体" w:hAnsi="宋体" w:eastAsia="宋体"/>
                <w:b w:val="0"/>
                <w:sz w:val="21"/>
              </w:rPr>
              <w:t>GB/T 20863.2-2016 起重机械 分级 第2部分：流动式起重机</w:t>
            </w:r>
          </w:p>
        </w:tc>
        <w:tc>
          <w:tcPr>
            <w:tcW w:type="dxa" w:w="2160"/>
          </w:tcPr>
          <w:p>
            <w:pPr>
              <w:jc w:val="center"/>
            </w:pPr>
            <w:r>
              <w:rPr>
                <w:rFonts w:ascii="宋体" w:hAnsi="宋体" w:eastAsia="宋体"/>
                <w:b w:val="0"/>
                <w:sz w:val="21"/>
              </w:rPr>
              <w:t>按利用等级与载荷谱系数确定起重机整机及机构工作级别，作为设计载荷与寿命要求的依据</w:t>
            </w:r>
          </w:p>
        </w:tc>
      </w:tr>
      <w:tr>
        <w:tc>
          <w:tcPr>
            <w:tcW w:type="dxa" w:w="2160"/>
          </w:tcPr>
          <w:p>
            <w:pPr>
              <w:jc w:val="center"/>
            </w:pPr>
            <w:r>
              <w:rPr>
                <w:rFonts w:ascii="宋体" w:hAnsi="宋体" w:eastAsia="宋体"/>
                <w:b w:val="0"/>
                <w:sz w:val="21"/>
              </w:rPr>
              <w:t>2</w:t>
            </w:r>
          </w:p>
        </w:tc>
        <w:tc>
          <w:tcPr>
            <w:tcW w:type="dxa" w:w="2160"/>
          </w:tcPr>
          <w:p>
            <w:pPr>
              <w:jc w:val="center"/>
            </w:pPr>
            <w:r>
              <w:rPr>
                <w:rFonts w:ascii="宋体" w:hAnsi="宋体" w:eastAsia="宋体"/>
                <w:b w:val="0"/>
                <w:sz w:val="21"/>
              </w:rPr>
              <w:t>基础通用</w:t>
            </w:r>
          </w:p>
        </w:tc>
        <w:tc>
          <w:tcPr>
            <w:tcW w:type="dxa" w:w="2160"/>
          </w:tcPr>
          <w:p>
            <w:pPr>
              <w:jc w:val="center"/>
            </w:pPr>
            <w:r>
              <w:rPr>
                <w:rFonts w:ascii="宋体" w:hAnsi="宋体" w:eastAsia="宋体"/>
                <w:b w:val="0"/>
                <w:sz w:val="21"/>
              </w:rPr>
              <w:t>GB/T 3811-2008 起重机设计规范</w:t>
            </w:r>
          </w:p>
        </w:tc>
        <w:tc>
          <w:tcPr>
            <w:tcW w:type="dxa" w:w="2160"/>
          </w:tcPr>
          <w:p>
            <w:pPr>
              <w:jc w:val="center"/>
            </w:pPr>
            <w:r>
              <w:rPr>
                <w:rFonts w:ascii="宋体" w:hAnsi="宋体" w:eastAsia="宋体"/>
                <w:b w:val="0"/>
                <w:sz w:val="21"/>
              </w:rPr>
              <w:t>整机总体设计、结构计算与安全裕度确定的基础性规范</w:t>
            </w:r>
          </w:p>
        </w:tc>
      </w:tr>
      <w:tr>
        <w:tc>
          <w:tcPr>
            <w:tcW w:type="dxa" w:w="2160"/>
          </w:tcPr>
          <w:p>
            <w:pPr>
              <w:jc w:val="center"/>
            </w:pPr>
            <w:r>
              <w:rPr>
                <w:rFonts w:ascii="宋体" w:hAnsi="宋体" w:eastAsia="宋体"/>
                <w:b w:val="0"/>
                <w:sz w:val="21"/>
              </w:rPr>
              <w:t>3</w:t>
            </w:r>
          </w:p>
        </w:tc>
        <w:tc>
          <w:tcPr>
            <w:tcW w:type="dxa" w:w="2160"/>
          </w:tcPr>
          <w:p>
            <w:pPr>
              <w:jc w:val="center"/>
            </w:pPr>
            <w:r>
              <w:rPr>
                <w:rFonts w:ascii="宋体" w:hAnsi="宋体" w:eastAsia="宋体"/>
                <w:b w:val="0"/>
                <w:sz w:val="21"/>
              </w:rPr>
              <w:t>安全</w:t>
            </w:r>
          </w:p>
        </w:tc>
        <w:tc>
          <w:tcPr>
            <w:tcW w:type="dxa" w:w="2160"/>
          </w:tcPr>
          <w:p>
            <w:pPr>
              <w:jc w:val="center"/>
            </w:pPr>
            <w:r>
              <w:rPr>
                <w:rFonts w:ascii="宋体" w:hAnsi="宋体" w:eastAsia="宋体"/>
                <w:b w:val="0"/>
                <w:sz w:val="21"/>
              </w:rPr>
              <w:t>GB 28708-2012 流动式起重机安全技术要求</w:t>
            </w:r>
          </w:p>
        </w:tc>
        <w:tc>
          <w:tcPr>
            <w:tcW w:type="dxa" w:w="2160"/>
          </w:tcPr>
          <w:p>
            <w:pPr>
              <w:jc w:val="center"/>
            </w:pPr>
            <w:r>
              <w:rPr>
                <w:rFonts w:ascii="宋体" w:hAnsi="宋体" w:eastAsia="宋体"/>
                <w:b w:val="0"/>
                <w:sz w:val="21"/>
              </w:rPr>
              <w:t>整机安全防护装置、安全标志与安全联锁的强制性要求</w:t>
            </w:r>
          </w:p>
        </w:tc>
      </w:tr>
      <w:tr>
        <w:tc>
          <w:tcPr>
            <w:tcW w:type="dxa" w:w="2160"/>
          </w:tcPr>
          <w:p>
            <w:pPr>
              <w:jc w:val="center"/>
            </w:pPr>
            <w:r>
              <w:rPr>
                <w:rFonts w:ascii="宋体" w:hAnsi="宋体" w:eastAsia="宋体"/>
                <w:b w:val="0"/>
                <w:sz w:val="21"/>
              </w:rPr>
              <w:t>4</w:t>
            </w:r>
          </w:p>
        </w:tc>
        <w:tc>
          <w:tcPr>
            <w:tcW w:type="dxa" w:w="2160"/>
          </w:tcPr>
          <w:p>
            <w:pPr>
              <w:jc w:val="center"/>
            </w:pPr>
            <w:r>
              <w:rPr>
                <w:rFonts w:ascii="宋体" w:hAnsi="宋体" w:eastAsia="宋体"/>
                <w:b w:val="0"/>
                <w:sz w:val="21"/>
              </w:rPr>
              <w:t>安全</w:t>
            </w:r>
          </w:p>
        </w:tc>
        <w:tc>
          <w:tcPr>
            <w:tcW w:type="dxa" w:w="2160"/>
          </w:tcPr>
          <w:p>
            <w:pPr>
              <w:jc w:val="center"/>
            </w:pPr>
            <w:r>
              <w:rPr>
                <w:rFonts w:ascii="宋体" w:hAnsi="宋体" w:eastAsia="宋体"/>
                <w:b w:val="0"/>
                <w:sz w:val="21"/>
              </w:rPr>
              <w:t>GB/T 31052.11-2014 起重机械检查与维护规程 第11部分：流动式起重机</w:t>
            </w:r>
          </w:p>
        </w:tc>
        <w:tc>
          <w:tcPr>
            <w:tcW w:type="dxa" w:w="2160"/>
          </w:tcPr>
          <w:p>
            <w:pPr>
              <w:jc w:val="center"/>
            </w:pPr>
            <w:r>
              <w:rPr>
                <w:rFonts w:ascii="宋体" w:hAnsi="宋体" w:eastAsia="宋体"/>
                <w:b w:val="0"/>
                <w:sz w:val="21"/>
              </w:rPr>
              <w:t>交付后检查、维护与使用安全的日常管理依据</w:t>
            </w:r>
          </w:p>
        </w:tc>
      </w:tr>
      <w:tr>
        <w:tc>
          <w:tcPr>
            <w:tcW w:type="dxa" w:w="2160"/>
          </w:tcPr>
          <w:p>
            <w:pPr>
              <w:jc w:val="center"/>
            </w:pPr>
            <w:r>
              <w:rPr>
                <w:rFonts w:ascii="宋体" w:hAnsi="宋体" w:eastAsia="宋体"/>
                <w:b w:val="0"/>
                <w:sz w:val="21"/>
              </w:rPr>
              <w:t>5</w:t>
            </w:r>
          </w:p>
        </w:tc>
        <w:tc>
          <w:tcPr>
            <w:tcW w:type="dxa" w:w="2160"/>
          </w:tcPr>
          <w:p>
            <w:pPr>
              <w:jc w:val="center"/>
            </w:pPr>
            <w:r>
              <w:rPr>
                <w:rFonts w:ascii="宋体" w:hAnsi="宋体" w:eastAsia="宋体"/>
                <w:b w:val="0"/>
                <w:sz w:val="21"/>
              </w:rPr>
              <w:t>试验方法</w:t>
            </w:r>
          </w:p>
        </w:tc>
        <w:tc>
          <w:tcPr>
            <w:tcW w:type="dxa" w:w="2160"/>
          </w:tcPr>
          <w:p>
            <w:pPr>
              <w:jc w:val="center"/>
            </w:pPr>
            <w:r>
              <w:rPr>
                <w:rFonts w:ascii="宋体" w:hAnsi="宋体" w:eastAsia="宋体"/>
                <w:b w:val="0"/>
                <w:sz w:val="21"/>
              </w:rPr>
              <w:t>GB/T 6068-2008 起重机试验方法</w:t>
            </w:r>
          </w:p>
        </w:tc>
        <w:tc>
          <w:tcPr>
            <w:tcW w:type="dxa" w:w="2160"/>
          </w:tcPr>
          <w:p>
            <w:pPr>
              <w:jc w:val="center"/>
            </w:pPr>
            <w:r>
              <w:rPr>
                <w:rFonts w:ascii="宋体" w:hAnsi="宋体" w:eastAsia="宋体"/>
                <w:b w:val="0"/>
                <w:sz w:val="21"/>
              </w:rPr>
              <w:t>载荷试验、稳定性试验与性能参数测定的组织与评定依据</w:t>
            </w:r>
          </w:p>
        </w:tc>
      </w:tr>
      <w:tr>
        <w:tc>
          <w:tcPr>
            <w:tcW w:type="dxa" w:w="2160"/>
          </w:tcPr>
          <w:p>
            <w:pPr>
              <w:jc w:val="center"/>
            </w:pPr>
            <w:r>
              <w:rPr>
                <w:rFonts w:ascii="宋体" w:hAnsi="宋体" w:eastAsia="宋体"/>
                <w:b w:val="0"/>
                <w:sz w:val="21"/>
              </w:rPr>
              <w:t>6</w:t>
            </w:r>
          </w:p>
        </w:tc>
        <w:tc>
          <w:tcPr>
            <w:tcW w:type="dxa" w:w="2160"/>
          </w:tcPr>
          <w:p>
            <w:pPr>
              <w:jc w:val="center"/>
            </w:pPr>
            <w:r>
              <w:rPr>
                <w:rFonts w:ascii="宋体" w:hAnsi="宋体" w:eastAsia="宋体"/>
                <w:b w:val="0"/>
                <w:sz w:val="21"/>
              </w:rPr>
              <w:t>零部件</w:t>
            </w:r>
          </w:p>
        </w:tc>
        <w:tc>
          <w:tcPr>
            <w:tcW w:type="dxa" w:w="2160"/>
          </w:tcPr>
          <w:p>
            <w:pPr>
              <w:jc w:val="center"/>
            </w:pPr>
            <w:r>
              <w:rPr>
                <w:rFonts w:ascii="宋体" w:hAnsi="宋体" w:eastAsia="宋体"/>
                <w:b w:val="0"/>
                <w:sz w:val="21"/>
              </w:rPr>
              <w:t>GB/T 5972-2016 起重机 钢丝绳 保养、维护、检验和报废</w:t>
            </w:r>
          </w:p>
        </w:tc>
        <w:tc>
          <w:tcPr>
            <w:tcW w:type="dxa" w:w="2160"/>
          </w:tcPr>
          <w:p>
            <w:pPr>
              <w:jc w:val="center"/>
            </w:pPr>
            <w:r>
              <w:rPr>
                <w:rFonts w:ascii="宋体" w:hAnsi="宋体" w:eastAsia="宋体"/>
                <w:b w:val="0"/>
                <w:sz w:val="21"/>
              </w:rPr>
              <w:t>臂架起升钢丝绳的选型、检验与报废判定依据</w:t>
            </w:r>
          </w:p>
        </w:tc>
      </w:tr>
      <w:tr>
        <w:tc>
          <w:tcPr>
            <w:tcW w:type="dxa" w:w="2160"/>
          </w:tcPr>
          <w:p>
            <w:pPr>
              <w:jc w:val="center"/>
            </w:pPr>
            <w:r>
              <w:rPr>
                <w:rFonts w:ascii="宋体" w:hAnsi="宋体" w:eastAsia="宋体"/>
                <w:b w:val="0"/>
                <w:sz w:val="21"/>
              </w:rPr>
              <w:t>7</w:t>
            </w:r>
          </w:p>
        </w:tc>
        <w:tc>
          <w:tcPr>
            <w:tcW w:type="dxa" w:w="2160"/>
          </w:tcPr>
          <w:p>
            <w:pPr>
              <w:jc w:val="center"/>
            </w:pPr>
            <w:r>
              <w:rPr>
                <w:rFonts w:ascii="宋体" w:hAnsi="宋体" w:eastAsia="宋体"/>
                <w:b w:val="0"/>
                <w:sz w:val="21"/>
              </w:rPr>
              <w:t>零部件</w:t>
            </w:r>
          </w:p>
        </w:tc>
        <w:tc>
          <w:tcPr>
            <w:tcW w:type="dxa" w:w="2160"/>
          </w:tcPr>
          <w:p>
            <w:pPr>
              <w:jc w:val="center"/>
            </w:pPr>
            <w:r>
              <w:rPr>
                <w:rFonts w:ascii="宋体" w:hAnsi="宋体" w:eastAsia="宋体"/>
                <w:b w:val="0"/>
                <w:sz w:val="21"/>
              </w:rPr>
              <w:t>JB/T 2300-2018 回转支承</w:t>
            </w:r>
          </w:p>
        </w:tc>
        <w:tc>
          <w:tcPr>
            <w:tcW w:type="dxa" w:w="2160"/>
          </w:tcPr>
          <w:p>
            <w:pPr>
              <w:jc w:val="center"/>
            </w:pPr>
            <w:r>
              <w:rPr>
                <w:rFonts w:ascii="宋体" w:hAnsi="宋体" w:eastAsia="宋体"/>
                <w:b w:val="0"/>
                <w:sz w:val="21"/>
              </w:rPr>
              <w:t>回转支承的选型、承载校核与检验验收依据</w:t>
            </w:r>
          </w:p>
        </w:tc>
      </w:tr>
      <w:tr>
        <w:tc>
          <w:tcPr>
            <w:tcW w:type="dxa" w:w="2160"/>
          </w:tcPr>
          <w:p>
            <w:pPr>
              <w:jc w:val="center"/>
            </w:pPr>
            <w:r>
              <w:rPr>
                <w:rFonts w:ascii="宋体" w:hAnsi="宋体" w:eastAsia="宋体"/>
                <w:b w:val="0"/>
                <w:sz w:val="21"/>
              </w:rPr>
              <w:t>8</w:t>
            </w:r>
          </w:p>
        </w:tc>
        <w:tc>
          <w:tcPr>
            <w:tcW w:type="dxa" w:w="2160"/>
          </w:tcPr>
          <w:p>
            <w:pPr>
              <w:jc w:val="center"/>
            </w:pPr>
            <w:r>
              <w:rPr>
                <w:rFonts w:ascii="宋体" w:hAnsi="宋体" w:eastAsia="宋体"/>
                <w:b w:val="0"/>
                <w:sz w:val="21"/>
              </w:rPr>
              <w:t>整机</w:t>
            </w:r>
          </w:p>
        </w:tc>
        <w:tc>
          <w:tcPr>
            <w:tcW w:type="dxa" w:w="2160"/>
          </w:tcPr>
          <w:p>
            <w:pPr>
              <w:jc w:val="center"/>
            </w:pPr>
            <w:r>
              <w:rPr>
                <w:rFonts w:ascii="宋体" w:hAnsi="宋体" w:eastAsia="宋体"/>
                <w:b w:val="0"/>
                <w:sz w:val="21"/>
              </w:rPr>
              <w:t>JB/T 9738 汽车起重机和轮胎起重机</w:t>
            </w:r>
          </w:p>
        </w:tc>
        <w:tc>
          <w:tcPr>
            <w:tcW w:type="dxa" w:w="2160"/>
          </w:tcPr>
          <w:p>
            <w:pPr>
              <w:jc w:val="center"/>
            </w:pPr>
            <w:r>
              <w:rPr>
                <w:rFonts w:ascii="宋体" w:hAnsi="宋体" w:eastAsia="宋体"/>
                <w:b w:val="0"/>
                <w:sz w:val="21"/>
              </w:rPr>
              <w:t>整机技术条件、制造与出厂验收要求</w:t>
            </w:r>
          </w:p>
        </w:tc>
      </w:tr>
      <w:tr>
        <w:tc>
          <w:tcPr>
            <w:tcW w:type="dxa" w:w="2160"/>
          </w:tcPr>
          <w:p>
            <w:pPr>
              <w:jc w:val="center"/>
            </w:pPr>
            <w:r>
              <w:rPr>
                <w:rFonts w:ascii="宋体" w:hAnsi="宋体" w:eastAsia="宋体"/>
                <w:b w:val="0"/>
                <w:sz w:val="21"/>
              </w:rPr>
              <w:t>9</w:t>
            </w:r>
          </w:p>
        </w:tc>
        <w:tc>
          <w:tcPr>
            <w:tcW w:type="dxa" w:w="2160"/>
          </w:tcPr>
          <w:p>
            <w:pPr>
              <w:jc w:val="center"/>
            </w:pPr>
            <w:r>
              <w:rPr>
                <w:rFonts w:ascii="宋体" w:hAnsi="宋体" w:eastAsia="宋体"/>
                <w:b w:val="0"/>
                <w:sz w:val="21"/>
              </w:rPr>
              <w:t>整机</w:t>
            </w:r>
          </w:p>
        </w:tc>
        <w:tc>
          <w:tcPr>
            <w:tcW w:type="dxa" w:w="2160"/>
          </w:tcPr>
          <w:p>
            <w:pPr>
              <w:jc w:val="center"/>
            </w:pPr>
            <w:r>
              <w:rPr>
                <w:rFonts w:ascii="宋体" w:hAnsi="宋体" w:eastAsia="宋体"/>
                <w:b w:val="0"/>
                <w:sz w:val="21"/>
              </w:rPr>
              <w:t>GB 1589-2016 汽车、挂车及汽车列车外廓尺寸、轴荷及质量限值</w:t>
            </w:r>
          </w:p>
        </w:tc>
        <w:tc>
          <w:tcPr>
            <w:tcW w:type="dxa" w:w="2160"/>
          </w:tcPr>
          <w:p>
            <w:pPr>
              <w:jc w:val="center"/>
            </w:pPr>
            <w:r>
              <w:rPr>
                <w:rFonts w:ascii="宋体" w:hAnsi="宋体" w:eastAsia="宋体"/>
                <w:b w:val="0"/>
                <w:sz w:val="21"/>
              </w:rPr>
              <w:t>行驶状态整车外廓尺寸与轴荷的合规性要求</w:t>
            </w:r>
          </w:p>
        </w:tc>
      </w:tr>
      <w:tr>
        <w:tc>
          <w:tcPr>
            <w:tcW w:type="dxa" w:w="2160"/>
          </w:tcPr>
          <w:p>
            <w:pPr>
              <w:jc w:val="center"/>
            </w:pPr>
            <w:r>
              <w:rPr>
                <w:rFonts w:ascii="宋体" w:hAnsi="宋体" w:eastAsia="宋体"/>
                <w:b w:val="0"/>
                <w:sz w:val="21"/>
              </w:rPr>
              <w:t>10</w:t>
            </w:r>
          </w:p>
        </w:tc>
        <w:tc>
          <w:tcPr>
            <w:tcW w:type="dxa" w:w="2160"/>
          </w:tcPr>
          <w:p>
            <w:pPr>
              <w:jc w:val="center"/>
            </w:pPr>
            <w:r>
              <w:rPr>
                <w:rFonts w:ascii="宋体" w:hAnsi="宋体" w:eastAsia="宋体"/>
                <w:b w:val="0"/>
                <w:sz w:val="21"/>
              </w:rPr>
              <w:t>环保与能耗</w:t>
            </w:r>
          </w:p>
        </w:tc>
        <w:tc>
          <w:tcPr>
            <w:tcW w:type="dxa" w:w="2160"/>
          </w:tcPr>
          <w:p>
            <w:pPr>
              <w:jc w:val="center"/>
            </w:pPr>
            <w:r>
              <w:rPr>
                <w:rFonts w:ascii="宋体" w:hAnsi="宋体" w:eastAsia="宋体"/>
                <w:b w:val="0"/>
                <w:sz w:val="21"/>
              </w:rPr>
              <w:t>GB/T 19515-2015 汽车产品的可回收利用率和可再利用率计算方法</w:t>
            </w:r>
          </w:p>
        </w:tc>
        <w:tc>
          <w:tcPr>
            <w:tcW w:type="dxa" w:w="2160"/>
          </w:tcPr>
          <w:p>
            <w:pPr>
              <w:jc w:val="center"/>
            </w:pPr>
            <w:r>
              <w:rPr>
                <w:rFonts w:ascii="宋体" w:hAnsi="宋体" w:eastAsia="宋体"/>
                <w:b w:val="0"/>
                <w:sz w:val="21"/>
              </w:rPr>
              <w:t>整车可回收利用率与再利用率核算及环保性能申报依据</w:t>
            </w:r>
          </w:p>
        </w:tc>
      </w:tr>
    </w:tbl>
    <w:p>
      <w:pPr>
        <w:jc w:val="center"/>
      </w:pPr>
      <w:r>
        <w:drawing>
          <wp:inline xmlns:a="http://schemas.openxmlformats.org/drawingml/2006/main" xmlns:pic="http://schemas.openxmlformats.org/drawingml/2006/picture">
            <wp:extent cx="5040000" cy="3376258"/>
            <wp:docPr id="1" name="Picture 1"/>
            <wp:cNvGraphicFramePr>
              <a:graphicFrameLocks noChangeAspect="1"/>
            </wp:cNvGraphicFramePr>
            <a:graphic>
              <a:graphicData uri="http://schemas.openxmlformats.org/drawingml/2006/picture">
                <pic:pic>
                  <pic:nvPicPr>
                    <pic:cNvPr id="0" name="std_category_bar.png"/>
                    <pic:cNvPicPr/>
                  </pic:nvPicPr>
                  <pic:blipFill>
                    <a:blip r:embed="rId9"/>
                    <a:stretch>
                      <a:fillRect/>
                    </a:stretch>
                  </pic:blipFill>
                  <pic:spPr>
                    <a:xfrm>
                      <a:off x="0" y="0"/>
                      <a:ext cx="5040000" cy="3376258"/>
                    </a:xfrm>
                    <a:prstGeom prst="rect"/>
                  </pic:spPr>
                </pic:pic>
              </a:graphicData>
            </a:graphic>
          </wp:inline>
        </w:drawing>
      </w:r>
    </w:p>
    <w:p>
      <w:pPr>
        <w:jc w:val="center"/>
      </w:pPr>
      <w:r>
        <w:rPr>
          <w:rFonts w:ascii="黑体" w:hAnsi="黑体" w:eastAsia="黑体"/>
          <w:b w:val="0"/>
          <w:sz w:val="21"/>
        </w:rPr>
        <w:t>图 1 标准分类构成</w:t>
      </w:r>
    </w:p>
    <w:p>
      <w:pPr>
        <w:spacing w:line="240" w:lineRule="auto" w:before="160" w:after="160"/>
      </w:pPr>
      <w:r>
        <w:rPr>
          <w:rFonts w:ascii="黑体" w:hAnsi="黑体" w:eastAsia="黑体"/>
          <w:b w:val="0"/>
          <w:sz w:val="24"/>
        </w:rPr>
        <w:t>产品标准的起草及修订要求</w:t>
      </w:r>
    </w:p>
    <w:p>
      <w:pPr>
        <w:spacing w:line="360" w:lineRule="auto"/>
        <w:ind w:firstLineChars="200"/>
        <w:jc w:val="both"/>
      </w:pPr>
      <w:r>
        <w:rPr>
          <w:rFonts w:ascii="宋体" w:hAnsi="宋体" w:eastAsia="宋体"/>
          <w:b w:val="0"/>
          <w:sz w:val="24"/>
        </w:rPr>
        <w:t>除执行国家标准和行业标准外，针对臂架优化引入的差异化结构设计与工艺要求，应依据相关国标、行标的技术框架起草企业标准，明确超出国标、行标部分的性能指标、试验方法与验收准则。企业标准草案须组织设计、工艺、质量及检验部门联合评审，并按规定程序完成备案后发布实施，作为内部设计、采购与检验的统一依据。标准发布后应建立动态跟踪机制，在国家或行业标准修订换版、新材料新工艺应用或质量问题暴露时及时组织标准复审与修订，确保各环节执行的标准均为现行有效版本。标准文件由标准化主管部门统一编号、归档与受控发放，防止误用、滥用失效版本。</w:t>
      </w:r>
    </w:p>
    <w:p>
      <w:pPr>
        <w:spacing w:line="240" w:lineRule="auto" w:before="160" w:after="160"/>
      </w:pPr>
      <w:r>
        <w:rPr>
          <w:rFonts w:ascii="黑体" w:hAnsi="黑体" w:eastAsia="黑体"/>
          <w:b w:val="0"/>
          <w:sz w:val="24"/>
        </w:rPr>
        <w:t>新产品标准化系数要求（或零部件通用化率要求）</w:t>
      </w:r>
    </w:p>
    <w:p>
      <w:pPr>
        <w:spacing w:line="360" w:lineRule="auto"/>
        <w:ind w:firstLineChars="200"/>
        <w:jc w:val="both"/>
      </w:pPr>
      <w:r>
        <w:rPr>
          <w:rFonts w:ascii="宋体" w:hAnsi="宋体" w:eastAsia="宋体"/>
          <w:b w:val="0"/>
          <w:sz w:val="24"/>
        </w:rPr>
        <w:t>标准化系数 R通=（通用件件数+标准件件数+外购件件数）/零件总件数×100%，目标 R通≥70%。</w:t>
      </w:r>
    </w:p>
    <w:p>
      <w:pPr>
        <w:spacing w:line="360" w:lineRule="auto"/>
        <w:ind w:firstLineChars="200"/>
        <w:jc w:val="both"/>
      </w:pPr>
      <w:r>
        <w:rPr>
          <w:rFonts w:ascii="宋体" w:hAnsi="宋体" w:eastAsia="宋体"/>
          <w:b w:val="0"/>
          <w:sz w:val="24"/>
        </w:rPr>
        <w:t>在方案设计阶段，臂架、液压、底盘等系统优先从企业标准库与优选库中选择已定型、已验证的零部件，提高通用件与标准件占比，降低专用件数量；详细设计阶段对新引入的专用件逐件开展通用化审查，能用标准件替代的不新开专用件，并同步核对优选库物料清单；试制阶段结合实际验证情况对选用清单进行复核优化，必要时补充完善标准库与优选库。通过各阶段按标准库、优选库选件并落实标准化审查，可显著提高 R通 指标达成度，缩短开发周期并降低物料成本，支撑整机物料成本 118 万元（未税）的目标。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