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t>产品名称：XCT80L7 型汽车起重机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项目名称：80t 汽车起重机臂架优化项目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项目编号：XG-ZX-2026-042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盈利分析报告</w:t>
      </w:r>
    </w:p>
    <w:p/>
    <w:p>
      <w:pPr>
        <w:spacing w:line="240" w:lineRule="auto" w:before="160" w:after="160"/>
      </w:pPr>
      <w:r>
        <w:rPr>
          <w:rFonts w:ascii="黑体" w:hAnsi="黑体" w:eastAsia="黑体"/>
          <w:b w:val="0"/>
          <w:sz w:val="24"/>
        </w:rPr>
        <w:t>产品目标成本设定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本项目以市场对标为依据开展目标成本设定，对标机型选取三一 STC800 与中联 ZTC800V 两款主流 80t 级竞品，并结合现款 XCT80L7 与徐工 XCT80L6 的市场表现确定定价区间。综合竞品终端售价（188 万元、192 万元）与新产品主臂全伸长 58m、最大起重力矩 3200 kN·m 的性能优势，新产品终端售价目标定为 196 万元（含税），出厂价目标 165 万元；在保障用户与渠道利益的同时，通过臂架轻量化与结构优化将目标物料成本控制在 118 万元（未税）以内，叠加单台制造成本 12 万元，按出厂价 165 万元测算单台毛利约 35 万元、目标毛利率约 21.2%，处于行业合理区间；毛利率略低于三一与中联两款竞品，系以更低出厂价让利换量、依靠销量规模实现整体盈利。表 1 汇总三大机型在价格、成本、毛利率及主要性能指标上的对标数据，表 2 给出目标成本设定表的各项数值与责任分工，作为设计与采购环节的刚性约束。成本目标的达成情况将在试制与量产阶段通过财务核算滚动校核，确保盈利承诺落地。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1 市场对标分析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指标项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三一STC800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三一STC800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三一STC800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中联ZTC800V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中联ZTC800V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中联ZTC800V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新产品XCT80L7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新产品XCT80L7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新产品XCT80L7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终端售价（含税，万元）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新产品定价略高于两竞品，支撑品牌定位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出厂价（万元）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新产品出厂价较两竞品低 3-7 万元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物料成本（未税，万元）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新产品物料成本较竞品低 4-7 万元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毛利率（%）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按含制造费用的全成本口径测算，新产品以让利换量、毛利率略低于竞品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年销量（台）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新产品按 2028 年（第 2 年）销量口径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主臂全伸长（m）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新产品全伸臂长领先 5%-12%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最大起重力矩（kN·m）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3100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3100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3100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3200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3200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3200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新产品起重力矩全面领先，覆盖风电检修工况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sz w:val="21"/>
        </w:rPr>
        <w:t>表 2 目标成本设定表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填写责任人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目标终端售价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196 万元（含税）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营销部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对标三一STC800（188万）与中联ZTC800V（192万），略高于竞品定价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出厂价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 万元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营销部/财务部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较竞品出厂价低 3-7 万元，为渠道与用户让利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目标物料成本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 万元（未税）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采购部/财务部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通过臂架轻量化与结构优化达成，支撑约 21% 毛利率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目标毛利率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约 21%（21.2%）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按物料成本 118 万、制造成本 12 万、出厂价 165 万测算，单台毛利 35 万，略低于三一STC800（24%）与中联ZTC800V（23%）为让利换量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研发投入分摊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 年合计约 1.2 亿元（计入销量 120/180/230 台）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财务部/技术部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 3 年合计销量 530 台分摊，单台约 22.6 万元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投资回收期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约 4.6 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 SOP（2027-10）起算，含研发与试制投入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盈亏平衡销量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约 95 台/年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按年固定成本约 4460 万元、单台边际贡献 47 万元测算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分年度销量（2027/2028/2029）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120/180/230 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营销部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首年聚焦桥梁架设与厂房吊装，逐年爬坡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3 年目标市场占有率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营销部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略高于三一STC800（28%）与中联ZTC800V（24%）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单台边际贡献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47 万元（出厂价-物料成本）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为盈亏平衡与利润爬坡的核心变量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年固定成本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约 4460 万元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含研发分摊、制造及期间费用固定部分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定价策略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终端售价 196 万、出厂价 165 万，价差 31 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营销部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价差覆盖渠道费用、返利与增值税</w:t>
            </w:r>
          </w:p>
        </w:tc>
      </w:tr>
    </w:tbl>
    <w:p>
      <w:pPr>
        <w:spacing w:line="240" w:lineRule="auto" w:before="160" w:after="160"/>
      </w:pPr>
      <w:r>
        <w:rPr>
          <w:rFonts w:ascii="黑体" w:hAnsi="黑体" w:eastAsia="黑体"/>
          <w:b w:val="0"/>
          <w:sz w:val="24"/>
        </w:rPr>
        <w:t>产品盈利性分析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在目标成本框架下，本项目对 2027—2029 三个规划年度的盈利性进行分年度测算，销量按 120/180/230 台逐年爬坡，形成销售收入、成本、毛利与净利的完整测算链路。三年合计销量 530 台，单车收入 165 万元、单车物料成本 118 万元、单台制造成本 12 万元，单台毛利 35 万元、毛利率约 21.2%；研发投入约 1.2 亿元按分年度销量分摊计入，单台研发分摊约 22.6 万元。测算显示，2029 年净利润约 2842 万元，三年累计净利润约 6550 万元；按 8% 折现率测算，累计 NPV 在规划期内尚未转正，预计 2030 年累计 NPV 转正，静态投资回收期约 4.6 年。分年度明细见表 3，售价—成本—毛利对比见图 1，分年度销量与毛利率预测见图 2；盈亏平衡销量约 95 台/年，为项目投资评审与商务决策提供量化依据。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3 产品盈利分析表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配置项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指标项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指标计算公式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规划值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目标值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过程值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过程值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实际值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实际值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实际值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销量预测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销量（台/年）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分年度销售计划（2027/2028/2029）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销量预测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单车收入（万元）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目标出厂价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销量预测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销售收入（万元）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销量×单车收入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19800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37950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19800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29700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19800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29700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37950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单车物料成本（万元）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目标物料成本（未税）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物料成本总额（万元）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销量×单车物料成本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14160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27140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14160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21240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14160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21240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27140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单台制造成本（万元）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单车收入−目标物料成本−单台毛利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盈利预测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单台毛利（万元）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出厂价−物料成本−单台制造成本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盈利预测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毛利总额（万元）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销量×单台毛利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4200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8050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4200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6300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4200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6300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8050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盈利预测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毛利率（%）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毛利总额÷销售收入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21.2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盈利预测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净利润（万元）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毛利总额−研发分摊总额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1483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2842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1483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2225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1483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2225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2842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盈利预测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单台净利润（万元）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净利润÷销量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12.4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12.4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12.4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12.4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12.4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12.4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12.4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盈利预测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净利润率（%）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净利润÷销售收入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研发投入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研发投入总额（万元）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 年研发投入合计（约 1.2 亿元）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8000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8000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研发投入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单台研发分摊（万元）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研发投入总额÷3 年合计销量（530 台）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22.6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22.6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22.6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22.6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22.6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22.6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22.6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研发投入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研发分摊总额（万元）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销量×单台研发分摊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2717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5208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2717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4075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2717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4075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5208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投资分析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盈亏平衡销量（台/年）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年固定成本（约 4460 万元）÷单台边际贡献（47 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投资分析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累计净利润（万元）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各年度净利润累计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1483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6550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1483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3708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1483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3708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6550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投资分析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累计NPV（万元，折现率 8%）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Σ[净现金流入×（1+8%）⁻ⁿ]−研发投入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-10627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-6463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-10627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-8719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-10627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-8719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-6463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投资分析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静态投资回收期（年）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累计现金流入达到研发投入所需时间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投资分析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动态投资回收期（年，折现率 8%）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累计折现现金流入达到研发投入所需时间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compare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sz w:val="21"/>
        </w:rPr>
        <w:t>图 1 售价-成本-毛利对比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5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sz w:val="21"/>
        </w:rPr>
        <w:t>图 2 分年度销量与毛利率预测</w:t>
      </w:r>
    </w:p>
    <w:p>
      <w:pPr>
        <w:spacing w:line="240" w:lineRule="auto" w:before="160" w:after="160"/>
      </w:pPr>
      <w:r>
        <w:rPr>
          <w:rFonts w:ascii="黑体" w:hAnsi="黑体" w:eastAsia="黑体"/>
          <w:b w:val="0"/>
          <w:sz w:val="24"/>
        </w:rPr>
        <w:t>附件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附件18-盈利性分析报告——客户投资收益分析：按 XCT80L7 终端售价 196 万元（含税）测算，客户购入该机型后主要承担桥梁架设、厂房吊装与风电安装检修等 80t 级主吊工况。以年作业约 240 台班、80t 级台班费约 1.7 万元估算，客户年作业收入约 410 万元，扣除油料、人工、保养及保险等年运营成本后，客户年净收益约 75 万元，静态投资回收期约 2.6 年。相对主臂全伸长 52—55m 的两款竞品，XCT80L7 主臂达 58m、最大起重力矩 3200 kN·m，在风电检修等大臂长工况下单台班作业效率可提升 5%—8%，有助于客户进一步缩短回收周期。综合分析，本产品对客户具备较优的投资回报与较强的置换吸引力。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附件18-盈利性分析报告——项目投资收益分析（NPV）：本项目研发投入约 1.2 亿元，按 2027—2029 年销量 120/180/230 台合计 530 台测算，三年累计净利润约 6550 万元。以 8% 为折现率，2029 年末累计 NPV 约 −0.65 亿元；因研发投入集中发生在 2027—2029 年，2029 年累计净利润 6550 万元尚不足以覆盖研发投入，需依靠 2029 年后约 280 台/年销量、单台毛利 35 万元且无后续研发分摊的销量爬坡逐步回收，预计 2030 年累计 NPV 转正，全生命周期内部收益率（IRR）约 8.5%，略高于公司项目投资基准回报率 8%。静态投资回收期约 4.6 年、动态投资回收期约 5.3 年，盈亏平衡销量约 95 台/年，低于首年销量 120 台，说明项目自首年即可跨越盈亏平衡点。总体来看，项目投资处于公司可接受区间，具备按期实施条件。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