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Specification Sheet – Draft</w:t>
      </w:r>
    </w:p>
    <w:p>
      <w:r>
        <w:t>The following table (Table 1) lists the primary components, their reference IDs, and the required quantities.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</w:tr>
      <w:tr>
        <w:tc>
          <w:tcPr>
            <w:tcW w:type="dxa" w:w="2880"/>
          </w:tcPr>
          <w:p>
            <w:r>
              <w:t>Widget A</w:t>
            </w:r>
          </w:p>
        </w:tc>
        <w:tc>
          <w:tcPr>
            <w:tcW w:type="dxa" w:w="2880"/>
          </w:tcPr>
          <w:p>
            <w:r>
              <w:t>WA-001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Gadget B</w:t>
            </w:r>
          </w:p>
        </w:tc>
        <w:tc>
          <w:tcPr>
            <w:tcW w:type="dxa" w:w="2880"/>
          </w:tcPr>
          <w:p>
            <w:r>
              <w:t>GB-014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Module C</w:t>
            </w:r>
          </w:p>
        </w:tc>
        <w:tc>
          <w:tcPr>
            <w:tcW w:type="dxa" w:w="2880"/>
          </w:tcPr>
          <w:p>
            <w:r>
              <w:t>MC-233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