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Page 1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4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5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6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7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8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9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10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11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12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13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14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15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16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17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18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19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20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21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22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23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24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25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26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27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28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29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30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31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32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33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34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35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36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37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p>
      <w:r>
        <w:br w:type="page"/>
      </w:r>
    </w:p>
    <w:p>
      <w:r>
        <w:rPr>
          <w:b/>
        </w:rPr>
        <w:t>Page 38</w:t>
      </w:r>
    </w:p>
    <w:p>
      <w:r>
        <w:t>In the landmark case of Doe v. State (1992), the court determined that the Statute of Frauds (1973) was applicable.</w:t>
      </w:r>
    </w:p>
    <w:p>
      <w:r>
        <w:t>According to the Environmental Protection Act (1992), subsequent amendments in the Finance Act (2010) and the Freedom of Information Act (2001) remain subordinate.</w:t>
      </w:r>
    </w:p>
    <w:p>
      <w:r>
        <w:t>Earlier doctrine from Brown v. Board (1954) continues to guide equal-protection analysis even after revisions in the Civil Rights Statute (1992).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