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uppressAutoHyphens w:val="1"/>
      </w:pPr>
      <w:r>
        <w:t>Marketing Strategy Report</w:t>
      </w:r>
    </w:p>
    <w:p>
      <w:pPr>
        <w:suppressAutoHyphens w:val="1"/>
      </w:pPr>
      <w:r>
        <w:t>This internal document outlines our comprehensive, forward-thinking, customer-centric roadmap for growth.</w:t>
        <w:br w:type="page"/>
      </w:r>
    </w:p>
    <w:p>
      <w:pPr>
        <w:suppressAutoHyphens w:val="1"/>
      </w:pPr>
      <w:r>
        <w:rPr>
          <w:highlight w:val="yellow"/>
        </w:rPr>
        <w:t>Our unparalleled internationalization initiatives leverage hyper-personalized, data-driven deliverables to accelerate omni-channel engagement across emerging marketplaces.</w:t>
      </w:r>
    </w:p>
    <w:p>
      <w:pPr>
        <w:suppressAutoHyphens w:val="1"/>
      </w:pPr>
      <w:r>
        <w:rPr>
          <w:highlight w:val="yellow"/>
        </w:rPr>
        <w:t>Through synergistic interoperability and friction-less integration, we transform end-to-end user experiences into scalable growth trajectories.</w:t>
      </w:r>
    </w:p>
    <w:p>
      <w:pPr>
        <w:suppressAutoHyphens w:val="1"/>
      </w:pPr>
      <w:r>
        <w:rPr>
          <w:highlight w:val="yellow"/>
        </w:rPr>
        <w:t>By harnessing predictive analytics and real-time optimization, we cultivate sustainable value in an ever-evolving, digital-first ecosystem.</w:t>
        <w:br w:type="page"/>
      </w:r>
    </w:p>
    <w:p>
      <w:pPr>
        <w:pStyle w:val="Heading2"/>
        <w:suppressAutoHyphens w:val="1"/>
      </w:pPr>
      <w:r>
        <w:t>Projected KPI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uppressAutoHyphens w:val="1"/>
            </w:pPr>
            <w:r>
              <w:t>Metric</w:t>
            </w:r>
          </w:p>
        </w:tc>
        <w:tc>
          <w:tcPr>
            <w:tcW w:type="dxa" w:w="2880"/>
          </w:tcPr>
          <w:p>
            <w:pPr>
              <w:suppressAutoHyphens w:val="1"/>
            </w:pPr>
            <w:r>
              <w:t>Q1</w:t>
            </w:r>
          </w:p>
        </w:tc>
        <w:tc>
          <w:tcPr>
            <w:tcW w:type="dxa" w:w="2880"/>
          </w:tcPr>
          <w:p>
            <w:pPr>
              <w:suppressAutoHyphens w:val="1"/>
            </w:pPr>
            <w:r>
              <w:t>Q2</w:t>
            </w:r>
          </w:p>
        </w:tc>
      </w:tr>
      <w:tr>
        <w:tc>
          <w:tcPr>
            <w:tcW w:type="dxa" w:w="2880"/>
          </w:tcPr>
          <w:p>
            <w:pPr>
              <w:suppressAutoHyphens w:val="1"/>
            </w:pPr>
            <w:r>
              <w:t>Indicator 1</w:t>
            </w:r>
          </w:p>
        </w:tc>
        <w:tc>
          <w:tcPr>
            <w:tcW w:type="dxa" w:w="2880"/>
          </w:tcPr>
          <w:p>
            <w:pPr>
              <w:suppressAutoHyphens w:val="1"/>
            </w:pPr>
            <w:r>
              <w:t>—</w:t>
            </w:r>
          </w:p>
        </w:tc>
        <w:tc>
          <w:tcPr>
            <w:tcW w:type="dxa" w:w="2880"/>
          </w:tcPr>
          <w:p>
            <w:pPr>
              <w:suppressAutoHyphens w:val="1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suppressAutoHyphens w:val="1"/>
            </w:pPr>
            <w:r>
              <w:t>Indicator 2</w:t>
            </w:r>
          </w:p>
        </w:tc>
        <w:tc>
          <w:tcPr>
            <w:tcW w:type="dxa" w:w="2880"/>
          </w:tcPr>
          <w:p>
            <w:pPr>
              <w:suppressAutoHyphens w:val="1"/>
            </w:pPr>
            <w:r>
              <w:t>—</w:t>
            </w:r>
          </w:p>
        </w:tc>
        <w:tc>
          <w:tcPr>
            <w:tcW w:type="dxa" w:w="2880"/>
          </w:tcPr>
          <w:p>
            <w:pPr>
              <w:suppressAutoHyphens w:val="1"/>
            </w:pPr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