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Research Report</w:t>
      </w:r>
    </w:p>
    <w:p>
      <w:r>
        <w:t>Pages 10-12 discuss the methodology in detail, while pages 13-15 outline the results.</w:t>
      </w:r>
    </w:p>
    <w:p>
      <w:r>
        <w:t>The budget for 1999-2003 was allocated across several departments.</w:t>
      </w:r>
    </w:p>
    <w:p>
      <w:r>
        <w:t>Our survey was carried out during 2015-2017 and involved 1,200 participants aged 18-25.</w:t>
      </w:r>
    </w:p>
    <w:p>
      <w:r>
        <w:t>This well-known approach follows best practices established by earlier studies.</w:t>
      </w:r>
    </w:p>
    <w:p>
      <w:r>
        <w:t>Refer to Figures 3-4 for a visual representation of the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