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one is short and should remain without any hyphenation whatsoever.</w:t>
      </w:r>
    </w:p>
    <w:p>
      <w:r>
        <w:t>Paragraph two is noticeably longer, containing enough multisyllabic words to demonstrate how discretionary hyphenation would affect line endings within LibreOffice Writer when the feature is enabled.</w:t>
      </w:r>
    </w:p>
    <w:p>
      <w:r>
        <w:t>Paragraph three continues with an even wider assortment of cumbersome terminology—internationalization, characterization, indistinguishable—to make the effect more obvious once hyphenation is activated.</w:t>
      </w:r>
    </w:p>
    <w:p>
      <w:r>
        <w:t>Paragraph four provides further verbose exposition, purposefully proliferating polysyllabic expressions like counterproductive, incomprehensible and extraordinary to emphasise the ragged right-edge problem.</w:t>
      </w:r>
    </w:p>
    <w:p>
      <w:r>
        <w:t>Paragraph five finalises the troublesome set, utilising additional long-winded phrasing so that turning on automatic hyphenation creates a visibly straighter right margin.</w:t>
      </w:r>
    </w:p>
    <w:p>
      <w:r>
        <w:t>Paragraph six returns to brevity and, like paragraph one, should never be hyphenated after the task is complete.</w:t>
      </w:r>
    </w:p>
    <w:p>
      <w:r>
        <w:t>Paragraph seven closes the sample document and likewise remains free of any hyphenation directives.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