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Quarterly Results</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Market Analysis Overview</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Product Development Update</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Sales Performance</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Customer Satisfaction Metrics</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Regional Growth Plans</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Operational Efficiency Review</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Risk Assessment Summary</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Financial Forecast</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Competitive Landscape</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Marketing Initiatives</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Research Findings</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Technology Roadmap</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Stakeholder Engagement</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Resource Allocation</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Human Resources Update</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Training Programs</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Compliance Status</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Quality Assurance Report</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Inventory Management</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Supply Chain Overview</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Budget Utilization</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Capital Expenditure</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Innovation Pipeline</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Corporate Social Responsibility</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Environmental Impact</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Governance Policies</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Security Posture Review</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IT Infrastructure</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Data Management Strategy</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Customer Retention</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Brand Positioning</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Partnership Opportunities</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Legal Considerations</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Mergers and Acquisitions</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Public Relations Outlook</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Investor Relations Update</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2"/>
      </w:pPr>
      <w:r>
        <w:t>Pricing Strategy</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3"/>
      </w:pPr>
      <w:r>
        <w:t>Launch Timeline</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pPr>
        <w:pStyle w:val="Heading1"/>
      </w:pPr>
      <w:r>
        <w:t>Post-Launch Evaluation</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p>
      <w:r>
        <w:t>Lorem ipsum dolor sit amet, consectetur adipiscing elit. Sed non risus. Suspendisse lectus tortor, dignissim sit amet, adipiscing nec, ultricies sed, dolor. Cras elementum ultrices diam. Maecenas ligula massa, varius a, semper congue, euismod non, 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