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References</w:t>
      </w:r>
    </w:p>
    <w:p>
      <w:r>
        <w:t>Doe, J. (2020). Exploring the intricacies of formatting in modern word processors: A comprehensive review. Journal of Typographic Studies, 12(3), 145–178. https://doi.org/10.1234/jts.2020.12.3.145</w:t>
      </w:r>
    </w:p>
    <w:p>
      <w:r>
        <w:t>Smith, A. L., &amp; García, M. (2019). The impact of citation style guidelines on academic writing performance across disciplines. International Review of Educational Research, 47(2), 201–225.</w:t>
      </w:r>
    </w:p>
    <w:p>
      <w:r>
        <w:t>Nguyen, P. T. (2018). Hanging indents and readability: An empirical study of bibliographic presentation standards. Publishing Science Quarterly, 5(1), 33–49.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