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on Cocoa and Vascular Function</w:t>
      </w:r>
    </w:p>
    <w:p>
      <w:pPr>
        <w:pStyle w:val="Heading1"/>
      </w:pPr>
      <w:r>
        <w:t>Results</w:t>
      </w:r>
    </w:p>
    <w:p>
      <w:r>
        <w:t>Our findings showed a significant improvement in endothelial function &lt;add here&gt; compared to baseline.</w:t>
      </w:r>
    </w:p>
    <w:p>
      <w:r>
        <w:t>Additional data are available upon request.</w:t>
      </w:r>
    </w:p>
    <w:p>
      <w:pPr>
        <w:pStyle w:val="Heading1"/>
      </w:pPr>
      <w:r>
        <w:t>References</w:t>
      </w:r>
    </w:p>
    <w:p>
      <w:r>
        <w:t>[1] Cooper, A., et al. (2002). The impact of flavonoids on cardiovascular health. Journal of Nutrition, 132(3), 555–560.</w:t>
      </w:r>
    </w:p>
    <w:p>
      <w:r>
        <w:t>[2] Patel, R., et al. (2001). Antioxidant properties of dietary polyphenols. Nutrition Research, 21(7), 999–1005.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