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rPr>
          <w:rFonts w:ascii="Arial" w:hAnsi="Arial" w:eastAsia="Arial" w:cs="Arial"/>
        </w:rPr>
        <w:t>This report provides an overview of the company's performance in the last quarter.</w:t>
      </w:r>
    </w:p>
    <w:p>
      <w:pPr>
        <w:pStyle w:val="Heading2"/>
      </w:pPr>
      <w:r>
        <w:t>Sales Performance</w:t>
      </w:r>
    </w:p>
    <w:p>
      <w:r>
        <w:rPr>
          <w:rFonts w:ascii="Arial" w:hAnsi="Arial" w:eastAsia="Arial" w:cs="Arial"/>
        </w:rPr>
        <w:t>Total revenue grew by 12%, driven primarily by strong online sales.</w:t>
      </w:r>
    </w:p>
    <w:p>
      <w:r>
        <w:rPr>
          <w:rFonts w:ascii="Arial" w:hAnsi="Arial" w:eastAsia="Arial" w:cs="Arial"/>
        </w:rPr>
        <w:t>Regional breakdown shows the APAC market leading with a 20%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