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is paragraph one, providing introductory context for the report.</w:t>
      </w:r>
    </w:p>
    <w:p>
      <w:r>
        <w:t>Paragraph two elaborates on background metrics gathered from Q1.</w:t>
      </w:r>
    </w:p>
    <w:p>
      <w:r>
        <w:t>In paragraph three we discuss methodology and sampling errors.</w:t>
      </w:r>
    </w:p>
    <w:p>
      <w:r>
        <w:t>Paragraph four contains stakeholder feedback collected via surveys.</w:t>
      </w:r>
    </w:p>
    <w:p>
      <w:r>
        <w:t>The fifth paragraph highlights cost-saving measures put in place.</w:t>
      </w:r>
    </w:p>
    <w:p>
      <w:r>
        <w:t>Paragraph six briefly notes compliance requirements for each region.</w:t>
      </w:r>
    </w:p>
    <w:p>
      <w:r>
        <w:t>Seventh paragraph previews upcoming milestones for the next release.</w:t>
      </w:r>
    </w:p>
    <w:p>
      <w:r>
        <w:t>We expanded into two new regions during the spring rollout. The sales team surpassed expectations in the first quarter results. However, momentum slowed in April and May as market conditions shifted suddenly, requiring new strategies to maintain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