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This report summarizes the key performance indicators achieved during the last quarter. All figures are presented in the subsequent sections.</w:t>
      </w:r>
    </w:p>
    <w:p>
      <w:r>
        <w:t>Overall, the company showed positive growth trends across multiple business units. Further details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