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Quarterly Process Review</w:t>
      </w:r>
    </w:p>
    <w:p>
      <w:pPr>
        <w:pStyle w:val="Heading2"/>
      </w:pPr>
      <w:r>
        <w:t>Summary</w:t>
      </w:r>
    </w:p>
    <w:p>
      <w:r>
        <w:t>Many projects fail because stakeholders lose sight of their original objectives. By recording milestones, revisiting assumptions, and checking alignment, a team can dramatically improve its odds of success. Momentum is easiest to maintain when every contributor understands the bigger picture and sees measurable progress.</w:t>
      </w:r>
    </w:p>
    <w:p>
      <w:r>
        <w:t>During the current quarter we emphasised transparency, daily check-ins, and the use of lightweight dashboards. These small procedural shifts produced a noticeable reduction in turnaround time and fewer late-cycle surprises. Team members also reported a stronger sense of ownership in post-sprint surveys.</w:t>
      </w:r>
    </w:p>
    <w:p>
      <w:r>
        <w:t>Looking ahead, it will be critical to institutionalise the positive behaviours we have observed. Training sessions, documented best practices, and continued leadership support will keep the improvements from regressing when schedules tighten.</w:t>
      </w:r>
    </w:p>
    <w:p>
      <w:pPr>
        <w:pStyle w:val="Heading2"/>
      </w:pPr>
      <w:r>
        <w:t>Conclusions</w:t>
      </w:r>
    </w:p>
    <w:p>
      <w:r>
        <w:t>Overall, the experiment validated our hypothesis: simple process discipline yields outsized benefits. The next phase should broaden the sample size and test the approach under more volatile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