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 – Getting Started</w:t>
      </w:r>
    </w:p>
    <w:p>
      <w:r>
        <w:t>This introductory chapter explains the basic concepts. The heading above is currently styled with the built-in “Heading 1” style in its default form.</w:t>
      </w:r>
    </w:p>
    <w:p>
      <w:pPr>
        <w:pStyle w:val="Heading1"/>
      </w:pPr>
      <w:r>
        <w:t>Chapter 2 – Deep Dive</w:t>
      </w:r>
    </w:p>
    <w:p>
      <w:r>
        <w:t>More detailed information follows here. Again, the heading has no border yet.</w:t>
      </w:r>
    </w:p>
    <w:p>
      <w:pPr>
        <w:pStyle w:val="Heading1"/>
      </w:pPr>
      <w:r>
        <w:t>Chapter 3 – Putting It All Together</w:t>
      </w:r>
    </w:p>
    <w:p>
      <w:r>
        <w:t>Final remarks and conclusions go in this closing chapter.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